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C5BC9" w14:textId="77777777" w:rsidR="00F821FD" w:rsidRDefault="00000000">
      <w:pPr>
        <w:spacing w:after="80"/>
        <w:jc w:val="center"/>
      </w:pPr>
      <w:r>
        <w:rPr>
          <w:b/>
          <w:bCs/>
          <w:sz w:val="32"/>
          <w:szCs w:val="32"/>
        </w:rPr>
        <w:t>Executive Summary</w:t>
      </w:r>
    </w:p>
    <w:p w14:paraId="0E7A009D" w14:textId="77777777" w:rsidR="00F821FD" w:rsidRDefault="00000000">
      <w:pPr>
        <w:spacing w:after="60"/>
        <w:jc w:val="center"/>
      </w:pPr>
      <w:r>
        <w:rPr>
          <w:i/>
          <w:iCs/>
          <w:sz w:val="24"/>
          <w:szCs w:val="24"/>
        </w:rPr>
        <w:t xml:space="preserve">Optimizing </w:t>
      </w:r>
      <w:proofErr w:type="spellStart"/>
      <w:r>
        <w:rPr>
          <w:i/>
          <w:iCs/>
          <w:sz w:val="24"/>
          <w:szCs w:val="24"/>
        </w:rPr>
        <w:t>Citibike</w:t>
      </w:r>
      <w:proofErr w:type="spellEnd"/>
      <w:r>
        <w:rPr>
          <w:i/>
          <w:iCs/>
          <w:sz w:val="24"/>
          <w:szCs w:val="24"/>
        </w:rPr>
        <w:t xml:space="preserve"> Rebalancing Operations During Peak Hours</w:t>
      </w:r>
    </w:p>
    <w:p w14:paraId="79763916" w14:textId="77777777" w:rsidR="00F821FD" w:rsidRDefault="00000000">
      <w:pPr>
        <w:pBdr>
          <w:bottom w:val="single" w:sz="6" w:space="1" w:color="333333"/>
        </w:pBdr>
        <w:spacing w:after="200"/>
        <w:jc w:val="center"/>
      </w:pPr>
      <w:r>
        <w:t>Mehmet Eren Çelik</w:t>
      </w:r>
    </w:p>
    <w:p w14:paraId="4778E7B8" w14:textId="77777777" w:rsidR="00F821FD" w:rsidRDefault="00000000">
      <w:pPr>
        <w:pStyle w:val="Heading1"/>
      </w:pPr>
      <w:r>
        <w:t>Background &amp; Objective</w:t>
      </w:r>
    </w:p>
    <w:p w14:paraId="045E58E3" w14:textId="77777777" w:rsidR="00F821FD" w:rsidRDefault="00000000">
      <w:pPr>
        <w:spacing w:after="120"/>
      </w:pPr>
      <w:proofErr w:type="spellStart"/>
      <w:r>
        <w:t>Citibike</w:t>
      </w:r>
      <w:proofErr w:type="spellEnd"/>
      <w:r>
        <w:t xml:space="preserve">, New York’s leading </w:t>
      </w:r>
      <w:proofErr w:type="spellStart"/>
      <w:r>
        <w:t>bikesharing</w:t>
      </w:r>
      <w:proofErr w:type="spellEnd"/>
      <w:r>
        <w:t xml:space="preserve"> platform, faces profitability challenges due to operational inefficiencies. Approximately 20% of dock stations experience stock-outs during peak hours, causing lost revenue. This analysis develops integer programming models to optimize the pre-peak rebalancing of bike inventory across 689 dock stations, aiming to maximize net revenue by matching supply with demand.</w:t>
      </w:r>
    </w:p>
    <w:p w14:paraId="3284A42E" w14:textId="77777777" w:rsidR="00F821FD" w:rsidRDefault="00000000">
      <w:pPr>
        <w:pStyle w:val="Heading1"/>
      </w:pPr>
      <w:r>
        <w:t>Key Findings</w:t>
      </w:r>
    </w:p>
    <w:p w14:paraId="259B3687" w14:textId="77777777" w:rsidR="00F821FD" w:rsidRDefault="00000000">
      <w:pPr>
        <w:pStyle w:val="Heading2"/>
      </w:pPr>
      <w:r>
        <w:t>1. Significant Supply-Demand Imbalance Exists</w:t>
      </w:r>
    </w:p>
    <w:p w14:paraId="4E87AD43" w14:textId="2CFF1325" w:rsidR="00F821FD" w:rsidRDefault="00000000">
      <w:pPr>
        <w:spacing w:after="120"/>
      </w:pPr>
      <w:r>
        <w:t>Heatmap analysis reveals substantial geographic mismatches between bike inventory and rider demand. While total system inventory (21,169 bikes) exceeds total demand (19,050 requests), bikes are frequently positioned at low-demand stations while high-demand areas in Midtown and Lower Manhattan face shortages</w:t>
      </w:r>
      <w:r w:rsidR="004D0CF8">
        <w:t>.</w:t>
      </w:r>
    </w:p>
    <w:p w14:paraId="460EC379" w14:textId="77777777" w:rsidR="00F821FD" w:rsidRDefault="00000000">
      <w:pPr>
        <w:pStyle w:val="Heading2"/>
      </w:pPr>
      <w:r>
        <w:t>2. Optimal Rebalancing Delivers Meaningful Revenue Gains</w:t>
      </w:r>
    </w:p>
    <w:p w14:paraId="3F6DD485" w14:textId="77777777" w:rsidR="00F821FD" w:rsidRDefault="00000000">
      <w:pPr>
        <w:spacing w:after="120"/>
      </w:pPr>
      <w:r>
        <w:t>Four optimization models were developed with progressively realistic assumptions. The table below summarizes the results across all model variants:</w:t>
      </w:r>
    </w:p>
    <w:p w14:paraId="737ECACE" w14:textId="12885AA2" w:rsidR="00F821FD" w:rsidRDefault="00000000">
      <w:pPr>
        <w:spacing w:after="60"/>
      </w:pPr>
      <w:r>
        <w:rPr>
          <w:b/>
          <w:bCs/>
        </w:rPr>
        <w:t>Model Q2 (Basic Rebalancing):</w:t>
      </w:r>
      <w:r>
        <w:t xml:space="preserve"> Optimal net revenue of $71,314, representing an $8,846 gain (+14.2%) over the no-rebalancing baseline of $</w:t>
      </w:r>
      <w:r w:rsidR="004D0CF8">
        <w:t>62,468.</w:t>
      </w:r>
    </w:p>
    <w:p w14:paraId="62372E87" w14:textId="5280E00C" w:rsidR="00F821FD" w:rsidRDefault="00000000">
      <w:pPr>
        <w:spacing w:after="60"/>
      </w:pPr>
      <w:r>
        <w:rPr>
          <w:b/>
          <w:bCs/>
        </w:rPr>
        <w:t>Model Q3 (With Replenishment):</w:t>
      </w:r>
      <w:r>
        <w:t xml:space="preserve"> Incorporating organic bike returns raised the baseline to $72,024 and the optimized revenue to $75,663. The marginal value of rebalancing decreased to $3,639, as replenishment naturally fills some </w:t>
      </w:r>
      <w:r w:rsidR="004D0CF8">
        <w:t>gaps.</w:t>
      </w:r>
    </w:p>
    <w:p w14:paraId="7A00EE3F" w14:textId="492AB715" w:rsidR="00F821FD" w:rsidRDefault="00000000">
      <w:pPr>
        <w:spacing w:after="60"/>
      </w:pPr>
      <w:r>
        <w:rPr>
          <w:b/>
          <w:bCs/>
        </w:rPr>
        <w:t>Model Q4 (Vehicle Choice):</w:t>
      </w:r>
      <w:r>
        <w:t xml:space="preserve"> Introducing small capacity vehicles (SCV, ≤10 bikes at $0.50/km) alongside large capacity vehicles (LCV at $1.00/km) improved net revenue to $75,882, as the optimizer leverages cheaper SCVs for small transfers</w:t>
      </w:r>
      <w:r w:rsidR="004D0CF8">
        <w:t>.</w:t>
      </w:r>
    </w:p>
    <w:p w14:paraId="10C0D4BC" w14:textId="0B3EE8FC" w:rsidR="00F821FD" w:rsidRDefault="00000000">
      <w:pPr>
        <w:spacing w:after="120"/>
      </w:pPr>
      <w:r>
        <w:rPr>
          <w:b/>
          <w:bCs/>
        </w:rPr>
        <w:t>Model Q5 (Procurement Costs):</w:t>
      </w:r>
      <w:r>
        <w:t xml:space="preserve"> Adding realistic procurement costs ($80 fixed SCV fee, $10/vehicle, max 3 operations/vehicle) reduced revenue to $75,280. Rebalancing remains profitable under realistic cost assumptions.</w:t>
      </w:r>
    </w:p>
    <w:p w14:paraId="50ADEEB6" w14:textId="77777777" w:rsidR="00F821FD" w:rsidRDefault="00000000">
      <w:pPr>
        <w:pStyle w:val="Heading2"/>
      </w:pPr>
      <w:r>
        <w:t>3. Network Coverage Is Already Comprehensive</w:t>
      </w:r>
    </w:p>
    <w:p w14:paraId="3BABA1B8" w14:textId="0ABB2600" w:rsidR="00F821FD" w:rsidRDefault="00000000">
      <w:pPr>
        <w:spacing w:after="120"/>
      </w:pPr>
      <w:r>
        <w:t xml:space="preserve">A facility location model evaluated opening one new dock station. The analysis found that all 19,050 demand locations already have at least one existing dock within 1 km, and total capacity is sufficient to satisfy 100% of demand. The optimal new dock (location 164, Chelsea/Midtown) yields $0 incremental revenue. This confirms that the current bottleneck is </w:t>
      </w:r>
      <w:r>
        <w:rPr>
          <w:i/>
          <w:iCs/>
        </w:rPr>
        <w:t>inventory positioning</w:t>
      </w:r>
      <w:r>
        <w:t>, not network coverage.</w:t>
      </w:r>
    </w:p>
    <w:p w14:paraId="4267F55F" w14:textId="77777777" w:rsidR="00F821FD" w:rsidRDefault="00000000">
      <w:pPr>
        <w:pStyle w:val="Heading1"/>
      </w:pPr>
      <w:r>
        <w:t>Recommendations</w:t>
      </w:r>
    </w:p>
    <w:p w14:paraId="293D1C13" w14:textId="16D86D5A" w:rsidR="00F821FD" w:rsidRDefault="00000000">
      <w:pPr>
        <w:spacing w:after="60"/>
      </w:pPr>
      <w:r>
        <w:rPr>
          <w:b/>
          <w:bCs/>
        </w:rPr>
        <w:t xml:space="preserve">1. Implement optimization-based rebalancing: </w:t>
      </w:r>
      <w:r>
        <w:t>Even the most conservative model shows rebalancing is profitable. Deploying the Q3/Q4 model for daily pre-peak operations could recover approximately $3,600–$8,800 in net revenue per peak hour.</w:t>
      </w:r>
    </w:p>
    <w:p w14:paraId="286AC139" w14:textId="77777777" w:rsidR="00F821FD" w:rsidRDefault="00000000">
      <w:pPr>
        <w:spacing w:after="60"/>
      </w:pPr>
      <w:r>
        <w:rPr>
          <w:b/>
          <w:bCs/>
        </w:rPr>
        <w:t xml:space="preserve">2. Prioritize SCV fleet for short-distance transfers: </w:t>
      </w:r>
      <w:r>
        <w:t xml:space="preserve">The Q4 results show that using cheaper small vehicles for relocations of ≤10 bikes </w:t>
      </w:r>
      <w:proofErr w:type="gramStart"/>
      <w:r>
        <w:t>saves</w:t>
      </w:r>
      <w:proofErr w:type="gramEnd"/>
      <w:r>
        <w:t xml:space="preserve"> costs without sacrificing service. The fleet mix should </w:t>
      </w:r>
      <w:proofErr w:type="spellStart"/>
      <w:r>
        <w:t>favor</w:t>
      </w:r>
      <w:proofErr w:type="spellEnd"/>
      <w:r>
        <w:t xml:space="preserve"> SCVs for nearby station pairs.</w:t>
      </w:r>
    </w:p>
    <w:p w14:paraId="228363A7" w14:textId="1A2ABCC2" w:rsidR="00F821FD" w:rsidRDefault="00000000">
      <w:pPr>
        <w:spacing w:after="60"/>
      </w:pPr>
      <w:r>
        <w:rPr>
          <w:b/>
          <w:bCs/>
        </w:rPr>
        <w:lastRenderedPageBreak/>
        <w:t xml:space="preserve">3. Invest in demand forecasting rather than new stations: </w:t>
      </w:r>
      <w:r>
        <w:t>Since the dock network already provides full spatial coverage, resources should be directed toward better demand prediction (addressing censored demand, as discussed) and dynamic inventory management.</w:t>
      </w:r>
    </w:p>
    <w:p w14:paraId="2592BD22" w14:textId="46B87023" w:rsidR="00F821FD" w:rsidRDefault="00000000">
      <w:pPr>
        <w:spacing w:after="120"/>
      </w:pPr>
      <w:r>
        <w:rPr>
          <w:b/>
          <w:bCs/>
        </w:rPr>
        <w:t xml:space="preserve">4. Extend the model for operational realism: </w:t>
      </w:r>
      <w:r>
        <w:t>Future iterations should incorporate stochastic demand (Q6.1), vehicle routing constraints, dock capacity limits, and multi-period planning to capture the full complexity of real-time operations.</w:t>
      </w:r>
    </w:p>
    <w:p w14:paraId="096E956D" w14:textId="77777777" w:rsidR="00F821FD" w:rsidRDefault="00000000">
      <w:pPr>
        <w:pStyle w:val="Heading1"/>
      </w:pPr>
      <w:r>
        <w:t>Limitations &amp; Future Work</w:t>
      </w:r>
    </w:p>
    <w:p w14:paraId="7267226E" w14:textId="77777777" w:rsidR="00F821FD" w:rsidRDefault="00000000">
      <w:pPr>
        <w:spacing w:after="120"/>
      </w:pPr>
      <w:r>
        <w:t xml:space="preserve">The current model assumes deterministic demand, instantaneous rebalancing, and a single </w:t>
      </w:r>
      <w:proofErr w:type="gramStart"/>
      <w:r>
        <w:t>time period</w:t>
      </w:r>
      <w:proofErr w:type="gramEnd"/>
      <w:r>
        <w:t xml:space="preserve">. Observed demand is censored (only completed trips are recorded), meaning we likely underestimate the true value of rebalancing. Future work should integrate machine learning-based demand forecasting, stochastic/robust optimization under uncertainty, and vehicle routing to create a deployable real-time rebalancing system. If </w:t>
      </w:r>
      <w:proofErr w:type="spellStart"/>
      <w:r>
        <w:t>Citibike</w:t>
      </w:r>
      <w:proofErr w:type="spellEnd"/>
      <w:r>
        <w:t xml:space="preserve"> achieves even the 4% efficiency improvement cited by its consultants, these models can directly contribute to profitability.</w:t>
      </w:r>
    </w:p>
    <w:sectPr w:rsidR="00F821F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11665"/>
    <w:multiLevelType w:val="hybridMultilevel"/>
    <w:tmpl w:val="8D28C0EC"/>
    <w:lvl w:ilvl="0" w:tplc="B9B87970">
      <w:start w:val="1"/>
      <w:numFmt w:val="bullet"/>
      <w:lvlText w:val="●"/>
      <w:lvlJc w:val="left"/>
      <w:pPr>
        <w:ind w:left="720" w:hanging="360"/>
      </w:pPr>
    </w:lvl>
    <w:lvl w:ilvl="1" w:tplc="5DA4F64C">
      <w:start w:val="1"/>
      <w:numFmt w:val="bullet"/>
      <w:lvlText w:val="○"/>
      <w:lvlJc w:val="left"/>
      <w:pPr>
        <w:ind w:left="1440" w:hanging="360"/>
      </w:pPr>
    </w:lvl>
    <w:lvl w:ilvl="2" w:tplc="86805488">
      <w:start w:val="1"/>
      <w:numFmt w:val="bullet"/>
      <w:lvlText w:val="■"/>
      <w:lvlJc w:val="left"/>
      <w:pPr>
        <w:ind w:left="2160" w:hanging="360"/>
      </w:pPr>
    </w:lvl>
    <w:lvl w:ilvl="3" w:tplc="5DC24720">
      <w:start w:val="1"/>
      <w:numFmt w:val="bullet"/>
      <w:lvlText w:val="●"/>
      <w:lvlJc w:val="left"/>
      <w:pPr>
        <w:ind w:left="2880" w:hanging="360"/>
      </w:pPr>
    </w:lvl>
    <w:lvl w:ilvl="4" w:tplc="0D66466E">
      <w:start w:val="1"/>
      <w:numFmt w:val="bullet"/>
      <w:lvlText w:val="○"/>
      <w:lvlJc w:val="left"/>
      <w:pPr>
        <w:ind w:left="3600" w:hanging="360"/>
      </w:pPr>
    </w:lvl>
    <w:lvl w:ilvl="5" w:tplc="768EAA38">
      <w:start w:val="1"/>
      <w:numFmt w:val="bullet"/>
      <w:lvlText w:val="■"/>
      <w:lvlJc w:val="left"/>
      <w:pPr>
        <w:ind w:left="4320" w:hanging="360"/>
      </w:pPr>
    </w:lvl>
    <w:lvl w:ilvl="6" w:tplc="9438B6EA">
      <w:start w:val="1"/>
      <w:numFmt w:val="bullet"/>
      <w:lvlText w:val="●"/>
      <w:lvlJc w:val="left"/>
      <w:pPr>
        <w:ind w:left="5040" w:hanging="360"/>
      </w:pPr>
    </w:lvl>
    <w:lvl w:ilvl="7" w:tplc="A7A036F2">
      <w:start w:val="1"/>
      <w:numFmt w:val="bullet"/>
      <w:lvlText w:val="●"/>
      <w:lvlJc w:val="left"/>
      <w:pPr>
        <w:ind w:left="5760" w:hanging="360"/>
      </w:pPr>
    </w:lvl>
    <w:lvl w:ilvl="8" w:tplc="2F10F4AC">
      <w:start w:val="1"/>
      <w:numFmt w:val="bullet"/>
      <w:lvlText w:val="●"/>
      <w:lvlJc w:val="left"/>
      <w:pPr>
        <w:ind w:left="6480" w:hanging="360"/>
      </w:pPr>
    </w:lvl>
  </w:abstractNum>
  <w:num w:numId="1" w16cid:durableId="10039000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1FD"/>
    <w:rsid w:val="004131E8"/>
    <w:rsid w:val="004D0CF8"/>
    <w:rsid w:val="00F8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485D71"/>
  <w15:docId w15:val="{3738BBA9-943D-DF41-B39D-E8A4DF53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3427</Characters>
  <Application>Microsoft Office Word</Application>
  <DocSecurity>0</DocSecurity>
  <Lines>54</Lines>
  <Paragraphs>26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Mehmet Eren Celik</cp:lastModifiedBy>
  <cp:revision>2</cp:revision>
  <dcterms:created xsi:type="dcterms:W3CDTF">2026-02-24T16:40:00Z</dcterms:created>
  <dcterms:modified xsi:type="dcterms:W3CDTF">2026-02-27T12:10:00Z</dcterms:modified>
</cp:coreProperties>
</file>