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Papertitle"/>
        <w:rPr>
          <w:sz w:val="48"/>
        </w:rPr>
      </w:pPr>
      <w:bookmarkStart w:id="0" w:name="title"/>
      <w:bookmarkEnd w:id="0"/>
      <w:r>
        <w:rPr>
          <w:sz w:val="48"/>
        </w:rPr>
        <w:t xml:space="preserve">Preparation of Papers in Two-Column Format </w:t>
        <w:br/>
        <w:t>for Conference Proceedings Sponsored by IEEE</w:t>
      </w:r>
    </w:p>
    <w:p>
      <w:pPr>
        <w:pStyle w:val="Normal"/>
        <w:jc w:val="center"/>
        <w:rPr>
          <w:sz w:val="48"/>
        </w:rPr>
      </w:pPr>
      <w:r>
        <w:rPr>
          <w:sz w:val="48"/>
        </w:rPr>
      </w:r>
    </w:p>
    <w:p>
      <w:pPr>
        <w:pStyle w:val="Author"/>
        <w:rPr>
          <w:sz w:val="20"/>
        </w:rPr>
      </w:pPr>
      <w:bookmarkStart w:id="1" w:name="authorName"/>
      <w:bookmarkEnd w:id="1"/>
      <w:r>
        <w:rPr>
          <w:sz w:val="20"/>
        </w:rPr>
        <w:t>Author(s) Name(s)</w:t>
      </w:r>
    </w:p>
    <w:p>
      <w:pPr>
        <w:pStyle w:val="Affiliation"/>
        <w:rPr>
          <w:i w:val="false"/>
          <w:i w:val="false"/>
          <w:sz w:val="20"/>
        </w:rPr>
      </w:pPr>
      <w:r>
        <w:rPr>
          <w:i w:val="false"/>
          <w:sz w:val="20"/>
        </w:rPr>
        <w:t xml:space="preserve">Author Affiliation(s) </w:t>
      </w:r>
    </w:p>
    <w:p>
      <w:pPr>
        <w:pStyle w:val="Affiliation"/>
        <w:rPr>
          <w:i w:val="false"/>
          <w:i w:val="false"/>
          <w:sz w:val="20"/>
        </w:rPr>
      </w:pPr>
      <w:r>
        <w:rPr>
          <w:i w:val="false"/>
          <w:sz w:val="20"/>
        </w:rPr>
        <w:t>E-mail</w:t>
      </w:r>
    </w:p>
    <w:p>
      <w:pPr>
        <w:pStyle w:val="Affiliation"/>
        <w:rPr>
          <w:i w:val="false"/>
          <w:i w:val="false"/>
          <w:sz w:val="20"/>
        </w:rPr>
      </w:pPr>
      <w:r>
        <w:rPr>
          <w:i w:val="false"/>
          <w:sz w:val="20"/>
        </w:rPr>
      </w:r>
    </w:p>
    <w:p>
      <w:pPr>
        <w:sectPr>
          <w:type w:val="nextPage"/>
          <w:pgSz w:w="11906" w:h="16838"/>
          <w:pgMar w:left="850" w:right="850" w:gutter="0" w:header="0" w:top="1080" w:footer="0" w:bottom="2261"/>
          <w:pgNumType w:fmt="decimal"/>
          <w:formProt w:val="false"/>
          <w:textDirection w:val="lrTb"/>
          <w:docGrid w:type="default" w:linePitch="360" w:charSpace="0"/>
        </w:sectPr>
      </w:pPr>
    </w:p>
    <w:p>
      <w:pPr>
        <w:pStyle w:val="Affiliation"/>
        <w:rPr>
          <w:lang w:val="pt-BR"/>
        </w:rPr>
      </w:pPr>
      <w:r>
        <w:rPr>
          <w:lang w:val="pt-BR"/>
        </w:rPr>
      </w:r>
      <w:r>
        <mc:AlternateContent>
          <mc:Choice Requires="wps">
            <w:drawing>
              <wp:anchor behindDoc="0" distT="0" distB="0" distL="114935" distR="114935" simplePos="0" locked="0" layoutInCell="0" allowOverlap="1" relativeHeight="2">
                <wp:simplePos x="0" y="0"/>
                <wp:positionH relativeFrom="margin">
                  <wp:posOffset>3480435</wp:posOffset>
                </wp:positionH>
                <wp:positionV relativeFrom="margin">
                  <wp:posOffset>1374140</wp:posOffset>
                </wp:positionV>
                <wp:extent cx="3154045" cy="2856865"/>
                <wp:effectExtent l="0" t="0" r="0" b="0"/>
                <wp:wrapSquare wrapText="bothSides"/>
                <wp:docPr id="1" name="Frame1"/>
                <a:graphic xmlns:a="http://schemas.openxmlformats.org/drawingml/2006/main">
                  <a:graphicData uri="http://schemas.microsoft.com/office/word/2010/wordprocessingShape">
                    <wps:wsp>
                      <wps:cNvSpPr txBox="1"/>
                      <wps:spPr>
                        <a:xfrm>
                          <a:off x="0" y="0"/>
                          <a:ext cx="3154045" cy="2856865"/>
                        </a:xfrm>
                        <a:prstGeom prst="rect"/>
                        <a:solidFill>
                          <a:srgbClr val="FFFFFF"/>
                        </a:solidFill>
                      </wps:spPr>
                      <wps:txbx>
                        <w:txbxContent>
                          <w:p>
                            <w:pPr>
                              <w:pStyle w:val="FootnoteText"/>
                              <w:ind w:hanging="0" w:right="0"/>
                              <w:rPr>
                                <w:sz w:val="20"/>
                              </w:rPr>
                            </w:pPr>
                            <w:r>
                              <w:rPr>
                                <w:sz w:val="20"/>
                              </w:rPr>
                              <w:drawing>
                                <wp:inline distT="0" distB="0" distL="0" distR="0">
                                  <wp:extent cx="3154680" cy="239395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2"/>
                                          <a:srcRect l="-11" t="-15" r="-11" b="-15"/>
                                          <a:stretch>
                                            <a:fillRect/>
                                          </a:stretch>
                                        </pic:blipFill>
                                        <pic:spPr bwMode="auto">
                                          <a:xfrm>
                                            <a:off x="0" y="0"/>
                                            <a:ext cx="3154680" cy="2393950"/>
                                          </a:xfrm>
                                          <a:prstGeom prst="rect">
                                            <a:avLst/>
                                          </a:prstGeom>
                                        </pic:spPr>
                                      </pic:pic>
                                    </a:graphicData>
                                  </a:graphic>
                                </wp:inline>
                              </w:drawing>
                            </w:r>
                          </w:p>
                          <w:p>
                            <w:pPr>
                              <w:pStyle w:val="FootnoteText"/>
                              <w:ind w:hanging="0" w:right="0"/>
                              <w:rPr/>
                            </w:pPr>
                            <w:r>
                              <w:rPr/>
                              <w:t>Fig. 1.  Magnetization as a function of applied field. Note that “Fig.” is abbreviated. There is a period after the figure number, followed by two spaces. It is good practice to explain the significance of the figure in the caption.</w:t>
                            </w:r>
                          </w:p>
                          <w:p>
                            <w:pPr>
                              <w:pStyle w:val="FootnoteText"/>
                              <w:ind w:hanging="0" w:right="0"/>
                              <w:rPr/>
                            </w:pPr>
                            <w:r>
                              <w:rPr/>
                              <w:t xml:space="preserve"> </w:t>
                            </w:r>
                          </w:p>
                        </w:txbxContent>
                      </wps:txbx>
                      <wps:bodyPr anchor="t" lIns="635" tIns="635" rIns="635" bIns="635">
                        <a:noAutofit/>
                      </wps:bodyPr>
                    </wps:wsp>
                  </a:graphicData>
                </a:graphic>
              </wp:anchor>
            </w:drawing>
          </mc:Choice>
          <mc:Fallback>
            <w:pict>
              <v:rect fillcolor="#FFFFFF" style="position:absolute;rotation:-0;width:248.35pt;height:224.95pt;mso-wrap-distance-left:9.05pt;mso-wrap-distance-right:9.05pt;mso-wrap-distance-top:0pt;mso-wrap-distance-bottom:0pt;margin-top:108.2pt;mso-position-vertical-relative:margin;margin-left:274.05pt;mso-position-horizontal-relative:margin">
                <v:textbox inset="0.000694444444444445in,0.000694444444444445in,0.000694444444444445in,0.000694444444444445in">
                  <w:txbxContent>
                    <w:p>
                      <w:pPr>
                        <w:pStyle w:val="FootnoteText"/>
                        <w:ind w:hanging="0" w:right="0"/>
                        <w:rPr>
                          <w:sz w:val="20"/>
                        </w:rPr>
                      </w:pPr>
                      <w:r>
                        <w:rPr>
                          <w:sz w:val="20"/>
                        </w:rPr>
                        <w:drawing>
                          <wp:inline distT="0" distB="0" distL="0" distR="0">
                            <wp:extent cx="3154680" cy="2393950"/>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3"/>
                                    <a:srcRect l="-11" t="-15" r="-11" b="-15"/>
                                    <a:stretch>
                                      <a:fillRect/>
                                    </a:stretch>
                                  </pic:blipFill>
                                  <pic:spPr bwMode="auto">
                                    <a:xfrm>
                                      <a:off x="0" y="0"/>
                                      <a:ext cx="3154680" cy="2393950"/>
                                    </a:xfrm>
                                    <a:prstGeom prst="rect">
                                      <a:avLst/>
                                    </a:prstGeom>
                                  </pic:spPr>
                                </pic:pic>
                              </a:graphicData>
                            </a:graphic>
                          </wp:inline>
                        </w:drawing>
                      </w:r>
                    </w:p>
                    <w:p>
                      <w:pPr>
                        <w:pStyle w:val="FootnoteText"/>
                        <w:ind w:hanging="0" w:right="0"/>
                        <w:rPr/>
                      </w:pPr>
                      <w:r>
                        <w:rPr/>
                        <w:t>Fig. 1.  Magnetization as a function of applied field. Note that “Fig.” is abbreviated. There is a period after the figure number, followed by two spaces. It is good practice to explain the significance of the figure in the caption.</w:t>
                      </w:r>
                    </w:p>
                    <w:p>
                      <w:pPr>
                        <w:pStyle w:val="FootnoteText"/>
                        <w:ind w:hanging="0" w:right="0"/>
                        <w:rPr/>
                      </w:pPr>
                      <w:r>
                        <w:rPr/>
                        <w:t xml:space="preserve"> </w:t>
                      </w:r>
                    </w:p>
                  </w:txbxContent>
                </v:textbox>
                <w10:wrap type="square"/>
              </v:rect>
            </w:pict>
          </mc:Fallback>
        </mc:AlternateContent>
      </w:r>
    </w:p>
    <w:p>
      <w:pPr>
        <w:pStyle w:val="abstract"/>
        <w:ind w:hanging="0" w:right="0"/>
        <w:rPr/>
      </w:pPr>
      <w:bookmarkStart w:id="2" w:name="abstract"/>
      <w:bookmarkEnd w:id="2"/>
      <w:r>
        <w:rPr>
          <w:i/>
        </w:rPr>
        <w:t>Abstract-</w:t>
      </w:r>
      <w:r>
        <w:rPr/>
        <w:t xml:space="preserve">These instructions give you basic guidelines for preparing camera-ready papers for conference proceedings. </w:t>
      </w:r>
    </w:p>
    <w:p>
      <w:pPr>
        <w:pStyle w:val="abstract"/>
        <w:rPr/>
      </w:pPr>
      <w:r>
        <w:rPr/>
      </w:r>
    </w:p>
    <w:p>
      <w:pPr>
        <w:pStyle w:val="sectionhead1"/>
        <w:numPr>
          <w:ilvl w:val="0"/>
          <w:numId w:val="3"/>
        </w:numPr>
        <w:tabs>
          <w:tab w:val="clear" w:pos="360"/>
          <w:tab w:val="left" w:pos="720" w:leader="none"/>
        </w:tabs>
        <w:spacing w:lineRule="auto" w:line="216" w:before="120" w:after="120"/>
        <w:ind w:hanging="720" w:left="720" w:right="0"/>
        <w:jc w:val="center"/>
        <w:rPr/>
      </w:pPr>
      <w:bookmarkStart w:id="3" w:name="sectionHeads1"/>
      <w:bookmarkEnd w:id="3"/>
      <w:r>
        <w:rPr/>
        <w:t>Introduction</w:t>
      </w:r>
    </w:p>
    <w:p>
      <w:pPr>
        <w:pStyle w:val="text"/>
        <w:rPr/>
      </w:pPr>
      <w:bookmarkStart w:id="4" w:name="text"/>
      <w:bookmarkEnd w:id="4"/>
      <w:r>
        <w:rPr/>
        <w:t xml:space="preserve">Your goal is to simulate the usual appearance of papers in an </w:t>
      </w:r>
      <w:r>
        <w:rPr>
          <w:i/>
        </w:rPr>
        <w:t>IEEE conference proceedings</w:t>
      </w:r>
      <w:r>
        <w:rPr/>
        <w:t>. For items not addressed in these instructions, please refer to the last issue of your conference’s proceedings or your Publications chair.</w:t>
      </w:r>
    </w:p>
    <w:p>
      <w:pPr>
        <w:pStyle w:val="Head2"/>
        <w:numPr>
          <w:ilvl w:val="1"/>
          <w:numId w:val="2"/>
        </w:numPr>
        <w:tabs>
          <w:tab w:val="clear" w:pos="720"/>
          <w:tab w:val="left" w:pos="1080" w:leader="none"/>
        </w:tabs>
        <w:spacing w:before="120" w:after="0"/>
        <w:ind w:hanging="360" w:left="1080" w:right="0"/>
        <w:rPr/>
      </w:pPr>
      <w:bookmarkStart w:id="5" w:name="heading2"/>
      <w:bookmarkEnd w:id="5"/>
      <w:r>
        <w:rPr/>
        <w:t>Full-Sized Camera-Ready (CR) Copy</w:t>
      </w:r>
    </w:p>
    <w:p>
      <w:pPr>
        <w:pStyle w:val="text"/>
        <w:rPr/>
      </w:pPr>
      <w:r>
        <w:rPr/>
        <w:t>Prepare your CR paper in full-size format, on US letter paper (8 ½ by 11 inches). For A4 paper, use the A4 template.</w:t>
      </w:r>
    </w:p>
    <w:p>
      <w:pPr>
        <w:pStyle w:val="text"/>
        <w:rPr/>
      </w:pPr>
      <w:r>
        <w:rPr>
          <w:i/>
        </w:rPr>
        <w:t>Type sizes and typefaces</w:t>
      </w:r>
      <w:r>
        <w:rPr/>
        <w:t>: Follow the type sizes specified in Table I. As an aid in gauging type size, 1 point is about 0.35 mm. The size of the lowercase letter “j” will give the point size. Times New Roman is the preferred font.</w:t>
      </w:r>
    </w:p>
    <w:p>
      <w:pPr>
        <w:pStyle w:val="text"/>
        <w:rPr/>
      </w:pPr>
      <w:bookmarkStart w:id="6" w:name="heading3"/>
      <w:bookmarkEnd w:id="6"/>
      <w:r>
        <w:rPr>
          <w:i/>
        </w:rPr>
        <w:t>1) US letter margins:</w:t>
      </w:r>
      <w:r>
        <w:rPr/>
        <w:t xml:space="preserve"> top = 0.75 inches, bottom = 1 inch, side = 0.625 inches. </w:t>
      </w:r>
    </w:p>
    <w:p>
      <w:pPr>
        <w:pStyle w:val="text"/>
        <w:rPr/>
      </w:pPr>
      <w:r>
        <w:rPr>
          <w:i/>
        </w:rPr>
        <w:t>2) A4 margins:</w:t>
      </w:r>
      <w:r>
        <w:rPr/>
        <w:t xml:space="preserve"> top = 19 mm, bottom = 40 mm, side = 15 mm. </w:t>
      </w:r>
    </w:p>
    <w:p>
      <w:pPr>
        <w:pStyle w:val="text"/>
        <w:rPr/>
      </w:pPr>
      <w:r>
        <w:rPr/>
        <w:t>The column width is 88mm (3.46 in). The space between the two columns is 4mm (0.16 in). Paragraph indentation is 3.5 mm (0.14 in).</w:t>
      </w:r>
    </w:p>
    <w:p>
      <w:pPr>
        <w:pStyle w:val="text"/>
        <w:rPr/>
      </w:pPr>
      <w:r>
        <w:rPr/>
        <w:t>Left- and right-justify your columns. Use tables and figures to adjust column length. On the last page of your paper, adjust the lengths of the columns so that they are equal. Use automatic hyphenation and check spelling. Digitize or paste down figures.</w:t>
      </w:r>
    </w:p>
    <w:p>
      <w:pPr>
        <w:pStyle w:val="text"/>
        <w:rPr/>
      </w:pPr>
      <w:r>
        <w:rPr/>
      </w:r>
    </w:p>
    <w:p>
      <w:pPr>
        <w:pStyle w:val="Normal"/>
        <w:spacing w:lineRule="auto" w:line="216" w:before="120" w:after="0"/>
        <w:jc w:val="center"/>
        <w:rPr>
          <w:sz w:val="16"/>
        </w:rPr>
      </w:pPr>
      <w:bookmarkStart w:id="7" w:name="tableCaptions"/>
      <w:bookmarkEnd w:id="7"/>
      <w:r>
        <w:rPr>
          <w:sz w:val="16"/>
        </w:rPr>
        <w:t>TABLE I</w:t>
      </w:r>
    </w:p>
    <w:p>
      <w:pPr>
        <w:pStyle w:val="Normal"/>
        <w:spacing w:before="0" w:after="60"/>
        <w:jc w:val="center"/>
        <w:rPr/>
      </w:pPr>
      <w:r>
        <w:rPr/>
        <w:t>Type Sizes for Camera-Ready Papers</w:t>
      </w:r>
    </w:p>
    <w:tbl>
      <w:tblPr>
        <w:tblW w:w="4870" w:type="dxa"/>
        <w:jc w:val="left"/>
        <w:tblInd w:w="193" w:type="dxa"/>
        <w:tblLayout w:type="fixed"/>
        <w:tblCellMar>
          <w:top w:w="0" w:type="dxa"/>
          <w:left w:w="108" w:type="dxa"/>
          <w:bottom w:w="0" w:type="dxa"/>
          <w:right w:w="108" w:type="dxa"/>
        </w:tblCellMar>
      </w:tblPr>
      <w:tblGrid>
        <w:gridCol w:w="558"/>
        <w:gridCol w:w="2412"/>
        <w:gridCol w:w="900"/>
        <w:gridCol w:w="990"/>
        <w:gridCol w:w="10"/>
      </w:tblGrid>
      <w:tr>
        <w:trPr>
          <w:trHeight w:val="240" w:hRule="exact"/>
        </w:trPr>
        <w:tc>
          <w:tcPr>
            <w:tcW w:w="558" w:type="dxa"/>
            <w:vMerge w:val="restart"/>
            <w:tcBorders>
              <w:top w:val="single" w:sz="4" w:space="0" w:color="000000"/>
              <w:left w:val="single" w:sz="4" w:space="0" w:color="000000"/>
            </w:tcBorders>
            <w:vAlign w:val="center"/>
          </w:tcPr>
          <w:p>
            <w:pPr>
              <w:pStyle w:val="Normal"/>
              <w:snapToGrid w:val="false"/>
              <w:jc w:val="center"/>
              <w:rPr>
                <w:sz w:val="16"/>
              </w:rPr>
            </w:pPr>
            <w:r>
              <w:rPr>
                <w:sz w:val="16"/>
              </w:rPr>
              <w:t>Type size (pts.)</w:t>
            </w:r>
          </w:p>
        </w:tc>
        <w:tc>
          <w:tcPr>
            <w:tcW w:w="4312" w:type="dxa"/>
            <w:gridSpan w:val="3"/>
            <w:tcBorders>
              <w:top w:val="single" w:sz="4" w:space="0" w:color="000000"/>
              <w:left w:val="single" w:sz="4" w:space="0" w:color="000000"/>
              <w:right w:val="single" w:sz="4" w:space="0" w:color="000000"/>
            </w:tcBorders>
            <w:vAlign w:val="center"/>
          </w:tcPr>
          <w:p>
            <w:pPr>
              <w:pStyle w:val="Normal"/>
              <w:snapToGrid w:val="false"/>
              <w:jc w:val="center"/>
              <w:rPr>
                <w:sz w:val="16"/>
              </w:rPr>
            </w:pPr>
            <w:r>
              <w:rPr>
                <w:sz w:val="16"/>
              </w:rPr>
              <w:t>Appearance</w:t>
            </w:r>
          </w:p>
        </w:tc>
      </w:tr>
      <w:tr>
        <w:trPr/>
        <w:tc>
          <w:tcPr>
            <w:tcW w:w="558" w:type="dxa"/>
            <w:vMerge w:val="continue"/>
            <w:tcBorders>
              <w:top w:val="single" w:sz="4" w:space="0" w:color="000000"/>
              <w:left w:val="single" w:sz="4" w:space="0" w:color="000000"/>
            </w:tcBorders>
            <w:vAlign w:val="center"/>
          </w:tcPr>
          <w:p>
            <w:pPr>
              <w:pStyle w:val="Normal"/>
              <w:snapToGrid w:val="false"/>
              <w:rPr>
                <w:sz w:val="16"/>
              </w:rPr>
            </w:pPr>
            <w:r>
              <w:rPr>
                <w:sz w:val="16"/>
              </w:rPr>
            </w:r>
          </w:p>
        </w:tc>
        <w:tc>
          <w:tcPr>
            <w:tcW w:w="2412" w:type="dxa"/>
            <w:tcBorders>
              <w:top w:val="single" w:sz="4" w:space="0" w:color="000000"/>
              <w:left w:val="single" w:sz="4" w:space="0" w:color="000000"/>
              <w:bottom w:val="single" w:sz="4" w:space="0" w:color="000000"/>
            </w:tcBorders>
            <w:vAlign w:val="center"/>
          </w:tcPr>
          <w:p>
            <w:pPr>
              <w:pStyle w:val="Normal"/>
              <w:snapToGrid w:val="false"/>
              <w:jc w:val="center"/>
              <w:rPr>
                <w:sz w:val="16"/>
              </w:rPr>
            </w:pPr>
            <w:r>
              <w:rPr>
                <w:sz w:val="16"/>
              </w:rPr>
              <w:t>Regular</w:t>
            </w:r>
          </w:p>
        </w:tc>
        <w:tc>
          <w:tcPr>
            <w:tcW w:w="900" w:type="dxa"/>
            <w:tcBorders>
              <w:top w:val="single" w:sz="4" w:space="0" w:color="000000"/>
              <w:left w:val="single" w:sz="4" w:space="0" w:color="000000"/>
              <w:bottom w:val="single" w:sz="4" w:space="0" w:color="000000"/>
            </w:tcBorders>
            <w:vAlign w:val="center"/>
          </w:tcPr>
          <w:p>
            <w:pPr>
              <w:pStyle w:val="Normal"/>
              <w:snapToGrid w:val="false"/>
              <w:jc w:val="center"/>
              <w:rPr>
                <w:sz w:val="16"/>
              </w:rPr>
            </w:pPr>
            <w:r>
              <w:rPr>
                <w:sz w:val="16"/>
              </w:rPr>
              <w:t>Bold</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center"/>
              <w:rPr>
                <w:sz w:val="16"/>
              </w:rPr>
            </w:pPr>
            <w:r>
              <w:rPr>
                <w:sz w:val="16"/>
              </w:rPr>
              <w:t>Italic</w:t>
            </w:r>
          </w:p>
        </w:tc>
      </w:tr>
      <w:tr>
        <w:trPr>
          <w:trHeight w:val="278" w:hRule="atLeast"/>
        </w:trPr>
        <w:tc>
          <w:tcPr>
            <w:tcW w:w="558" w:type="dxa"/>
            <w:tcBorders>
              <w:top w:val="single" w:sz="4" w:space="0" w:color="000000"/>
              <w:left w:val="single" w:sz="4" w:space="0" w:color="000000"/>
            </w:tcBorders>
            <w:vAlign w:val="center"/>
          </w:tcPr>
          <w:p>
            <w:pPr>
              <w:pStyle w:val="Normal"/>
              <w:snapToGrid w:val="false"/>
              <w:jc w:val="center"/>
              <w:rPr>
                <w:sz w:val="16"/>
              </w:rPr>
            </w:pPr>
            <w:r>
              <w:rPr>
                <w:sz w:val="16"/>
              </w:rPr>
              <w:t>6</w:t>
            </w:r>
          </w:p>
        </w:tc>
        <w:tc>
          <w:tcPr>
            <w:tcW w:w="2412" w:type="dxa"/>
            <w:tcBorders>
              <w:top w:val="single" w:sz="4" w:space="0" w:color="000000"/>
              <w:left w:val="single" w:sz="4" w:space="0" w:color="000000"/>
              <w:bottom w:val="single" w:sz="4" w:space="0" w:color="000000"/>
            </w:tcBorders>
            <w:vAlign w:val="center"/>
          </w:tcPr>
          <w:p>
            <w:pPr>
              <w:pStyle w:val="Normal"/>
              <w:snapToGrid w:val="false"/>
              <w:rPr/>
            </w:pPr>
            <w:bookmarkStart w:id="8" w:name="tableText"/>
            <w:bookmarkEnd w:id="8"/>
            <w:r>
              <w:rPr>
                <w:sz w:val="16"/>
              </w:rPr>
              <w:t>Table captions,</w:t>
            </w:r>
            <w:r>
              <w:rPr>
                <w:sz w:val="16"/>
                <w:vertAlign w:val="superscript"/>
              </w:rPr>
              <w:t>a</w:t>
            </w:r>
            <w:r>
              <w:rPr>
                <w:sz w:val="16"/>
              </w:rPr>
              <w:t xml:space="preserve"> table superscripts</w:t>
            </w:r>
          </w:p>
        </w:tc>
        <w:tc>
          <w:tcPr>
            <w:tcW w:w="900" w:type="dxa"/>
            <w:tcBorders>
              <w:top w:val="single" w:sz="4" w:space="0" w:color="000000"/>
              <w:left w:val="single" w:sz="4" w:space="0" w:color="000000"/>
              <w:bottom w:val="single" w:sz="4" w:space="0" w:color="000000"/>
            </w:tcBorders>
            <w:vAlign w:val="center"/>
          </w:tcPr>
          <w:p>
            <w:pPr>
              <w:pStyle w:val="Normal"/>
              <w:snapToGrid w:val="false"/>
              <w:rPr>
                <w:sz w:val="16"/>
              </w:rPr>
            </w:pPr>
            <w:r>
              <w:rPr>
                <w:sz w:val="16"/>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16"/>
              </w:rPr>
            </w:pPr>
            <w:r>
              <w:rPr>
                <w:sz w:val="16"/>
              </w:rPr>
            </w:r>
          </w:p>
        </w:tc>
      </w:tr>
      <w:tr>
        <w:trPr>
          <w:trHeight w:val="872" w:hRule="atLeast"/>
        </w:trPr>
        <w:tc>
          <w:tcPr>
            <w:tcW w:w="558" w:type="dxa"/>
            <w:tcBorders>
              <w:left w:val="single" w:sz="4" w:space="0" w:color="000000"/>
            </w:tcBorders>
          </w:tcPr>
          <w:p>
            <w:pPr>
              <w:pStyle w:val="Normal"/>
              <w:snapToGrid w:val="false"/>
              <w:jc w:val="center"/>
              <w:rPr>
                <w:sz w:val="16"/>
              </w:rPr>
            </w:pPr>
            <w:r>
              <w:rPr>
                <w:sz w:val="16"/>
              </w:rPr>
              <w:t>8</w:t>
            </w:r>
          </w:p>
        </w:tc>
        <w:tc>
          <w:tcPr>
            <w:tcW w:w="2412" w:type="dxa"/>
            <w:tcBorders>
              <w:top w:val="single" w:sz="4" w:space="0" w:color="000000"/>
              <w:left w:val="single" w:sz="4" w:space="0" w:color="000000"/>
              <w:bottom w:val="single" w:sz="4" w:space="0" w:color="000000"/>
            </w:tcBorders>
            <w:vAlign w:val="center"/>
          </w:tcPr>
          <w:p>
            <w:pPr>
              <w:pStyle w:val="Normal"/>
              <w:snapToGrid w:val="false"/>
              <w:spacing w:lineRule="auto" w:line="216"/>
              <w:rPr/>
            </w:pPr>
            <w:r>
              <w:rPr>
                <w:sz w:val="16"/>
              </w:rPr>
              <w:t>Section titles,</w:t>
            </w:r>
            <w:r>
              <w:rPr>
                <w:sz w:val="16"/>
                <w:vertAlign w:val="superscript"/>
              </w:rPr>
              <w:t xml:space="preserve"> a</w:t>
            </w:r>
            <w:r>
              <w:rPr>
                <w:sz w:val="16"/>
              </w:rPr>
              <w:t xml:space="preserve"> references, tables, table names,</w:t>
            </w:r>
            <w:r>
              <w:rPr>
                <w:sz w:val="16"/>
                <w:vertAlign w:val="superscript"/>
              </w:rPr>
              <w:t>a</w:t>
            </w:r>
            <w:r>
              <w:rPr>
                <w:sz w:val="16"/>
              </w:rPr>
              <w:t xml:space="preserve"> first letters in table captions,</w:t>
            </w:r>
            <w:r>
              <w:rPr>
                <w:sz w:val="16"/>
                <w:vertAlign w:val="superscript"/>
              </w:rPr>
              <w:t>a</w:t>
            </w:r>
            <w:r>
              <w:rPr>
                <w:sz w:val="16"/>
              </w:rPr>
              <w:t xml:space="preserve"> figure captions, footnotes, text subscripts, and superscripts</w:t>
            </w:r>
          </w:p>
        </w:tc>
        <w:tc>
          <w:tcPr>
            <w:tcW w:w="900" w:type="dxa"/>
            <w:tcBorders>
              <w:top w:val="single" w:sz="4" w:space="0" w:color="000000"/>
              <w:left w:val="single" w:sz="4" w:space="0" w:color="000000"/>
              <w:bottom w:val="single" w:sz="4" w:space="0" w:color="000000"/>
            </w:tcBorders>
          </w:tcPr>
          <w:p>
            <w:pPr>
              <w:pStyle w:val="Normal"/>
              <w:snapToGrid w:val="false"/>
              <w:rPr>
                <w:sz w:val="16"/>
              </w:rPr>
            </w:pPr>
            <w:r>
              <w:rPr>
                <w:sz w:val="16"/>
              </w:rPr>
            </w:r>
          </w:p>
        </w:tc>
        <w:tc>
          <w:tcPr>
            <w:tcW w:w="1000" w:type="dxa"/>
            <w:tcBorders>
              <w:top w:val="single" w:sz="4" w:space="0" w:color="000000"/>
              <w:left w:val="single" w:sz="4" w:space="0" w:color="000000"/>
              <w:bottom w:val="single" w:sz="4" w:space="0" w:color="000000"/>
              <w:right w:val="single" w:sz="4" w:space="0" w:color="000000"/>
            </w:tcBorders>
          </w:tcPr>
          <w:p>
            <w:pPr>
              <w:pStyle w:val="Normal"/>
              <w:snapToGrid w:val="false"/>
              <w:rPr>
                <w:sz w:val="16"/>
              </w:rPr>
            </w:pPr>
            <w:r>
              <w:rPr>
                <w:sz w:val="16"/>
              </w:rPr>
            </w:r>
          </w:p>
        </w:tc>
      </w:tr>
      <w:tr>
        <w:trPr>
          <w:trHeight w:val="188" w:hRule="atLeast"/>
        </w:trPr>
        <w:tc>
          <w:tcPr>
            <w:tcW w:w="558" w:type="dxa"/>
            <w:tcBorders>
              <w:left w:val="single" w:sz="4" w:space="0" w:color="000000"/>
            </w:tcBorders>
            <w:vAlign w:val="center"/>
          </w:tcPr>
          <w:p>
            <w:pPr>
              <w:pStyle w:val="Normal"/>
              <w:snapToGrid w:val="false"/>
              <w:jc w:val="center"/>
              <w:rPr>
                <w:sz w:val="16"/>
              </w:rPr>
            </w:pPr>
            <w:r>
              <w:rPr>
                <w:sz w:val="16"/>
              </w:rPr>
              <w:t>9</w:t>
            </w:r>
          </w:p>
        </w:tc>
        <w:tc>
          <w:tcPr>
            <w:tcW w:w="2412" w:type="dxa"/>
            <w:tcBorders>
              <w:top w:val="single" w:sz="4" w:space="0" w:color="000000"/>
              <w:left w:val="single" w:sz="4" w:space="0" w:color="000000"/>
              <w:bottom w:val="single" w:sz="4" w:space="0" w:color="000000"/>
            </w:tcBorders>
            <w:vAlign w:val="center"/>
          </w:tcPr>
          <w:p>
            <w:pPr>
              <w:pStyle w:val="Normal"/>
              <w:snapToGrid w:val="false"/>
              <w:rPr>
                <w:sz w:val="16"/>
              </w:rPr>
            </w:pPr>
            <w:r>
              <w:rPr>
                <w:sz w:val="16"/>
              </w:rPr>
            </w:r>
          </w:p>
        </w:tc>
        <w:tc>
          <w:tcPr>
            <w:tcW w:w="900" w:type="dxa"/>
            <w:tcBorders>
              <w:top w:val="single" w:sz="4" w:space="0" w:color="000000"/>
              <w:left w:val="single" w:sz="4" w:space="0" w:color="000000"/>
              <w:bottom w:val="single" w:sz="4" w:space="0" w:color="000000"/>
            </w:tcBorders>
            <w:vAlign w:val="center"/>
          </w:tcPr>
          <w:p>
            <w:pPr>
              <w:pStyle w:val="Normal"/>
              <w:snapToGrid w:val="false"/>
              <w:rPr>
                <w:sz w:val="16"/>
              </w:rPr>
            </w:pPr>
            <w:r>
              <w:rPr>
                <w:sz w:val="16"/>
              </w:rPr>
              <w:t>Abstract</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16"/>
              </w:rPr>
            </w:pPr>
            <w:r>
              <w:rPr>
                <w:sz w:val="16"/>
              </w:rPr>
            </w:r>
          </w:p>
        </w:tc>
      </w:tr>
      <w:tr>
        <w:trPr>
          <w:trHeight w:val="503" w:hRule="atLeast"/>
        </w:trPr>
        <w:tc>
          <w:tcPr>
            <w:tcW w:w="558" w:type="dxa"/>
            <w:tcBorders>
              <w:left w:val="single" w:sz="4" w:space="0" w:color="000000"/>
            </w:tcBorders>
          </w:tcPr>
          <w:p>
            <w:pPr>
              <w:pStyle w:val="Normal"/>
              <w:snapToGrid w:val="false"/>
              <w:jc w:val="center"/>
              <w:rPr>
                <w:sz w:val="16"/>
              </w:rPr>
            </w:pPr>
            <w:r>
              <w:rPr>
                <w:sz w:val="16"/>
              </w:rPr>
              <w:t>10</w:t>
            </w:r>
          </w:p>
        </w:tc>
        <w:tc>
          <w:tcPr>
            <w:tcW w:w="2412" w:type="dxa"/>
            <w:tcBorders>
              <w:top w:val="single" w:sz="4" w:space="0" w:color="000000"/>
              <w:left w:val="single" w:sz="4" w:space="0" w:color="000000"/>
              <w:bottom w:val="single" w:sz="4" w:space="0" w:color="000000"/>
            </w:tcBorders>
            <w:vAlign w:val="center"/>
          </w:tcPr>
          <w:p>
            <w:pPr>
              <w:pStyle w:val="Normal"/>
              <w:snapToGrid w:val="false"/>
              <w:spacing w:lineRule="auto" w:line="216"/>
              <w:rPr/>
            </w:pPr>
            <w:r>
              <w:rPr>
                <w:sz w:val="16"/>
              </w:rPr>
              <w:t>Authors’ affiliations, main text, equations, first letters in section titles</w:t>
            </w:r>
            <w:r>
              <w:rPr>
                <w:sz w:val="16"/>
                <w:vertAlign w:val="superscript"/>
              </w:rPr>
              <w:t>a</w:t>
            </w:r>
          </w:p>
        </w:tc>
        <w:tc>
          <w:tcPr>
            <w:tcW w:w="900" w:type="dxa"/>
            <w:tcBorders>
              <w:top w:val="single" w:sz="4" w:space="0" w:color="000000"/>
              <w:left w:val="single" w:sz="4" w:space="0" w:color="000000"/>
              <w:bottom w:val="single" w:sz="4" w:space="0" w:color="000000"/>
            </w:tcBorders>
          </w:tcPr>
          <w:p>
            <w:pPr>
              <w:pStyle w:val="Normal"/>
              <w:snapToGrid w:val="false"/>
              <w:rPr>
                <w:sz w:val="16"/>
                <w:vertAlign w:val="superscript"/>
              </w:rPr>
            </w:pPr>
            <w:r>
              <w:rPr>
                <w:sz w:val="16"/>
                <w:vertAlign w:val="superscript"/>
              </w:rPr>
            </w:r>
          </w:p>
        </w:tc>
        <w:tc>
          <w:tcPr>
            <w:tcW w:w="1000" w:type="dxa"/>
            <w:tcBorders>
              <w:top w:val="single" w:sz="4" w:space="0" w:color="000000"/>
              <w:left w:val="single" w:sz="4" w:space="0" w:color="000000"/>
              <w:bottom w:val="single" w:sz="4" w:space="0" w:color="000000"/>
              <w:right w:val="single" w:sz="4" w:space="0" w:color="000000"/>
            </w:tcBorders>
          </w:tcPr>
          <w:p>
            <w:pPr>
              <w:pStyle w:val="Normal"/>
              <w:snapToGrid w:val="false"/>
              <w:rPr>
                <w:sz w:val="16"/>
              </w:rPr>
            </w:pPr>
            <w:r>
              <w:rPr>
                <w:sz w:val="16"/>
              </w:rPr>
              <w:t>Subheading</w:t>
            </w:r>
          </w:p>
        </w:tc>
      </w:tr>
      <w:tr>
        <w:trPr>
          <w:trHeight w:val="197" w:hRule="atLeast"/>
        </w:trPr>
        <w:tc>
          <w:tcPr>
            <w:tcW w:w="558" w:type="dxa"/>
            <w:tcBorders>
              <w:left w:val="single" w:sz="4" w:space="0" w:color="000000"/>
            </w:tcBorders>
            <w:vAlign w:val="center"/>
          </w:tcPr>
          <w:p>
            <w:pPr>
              <w:pStyle w:val="Normal"/>
              <w:snapToGrid w:val="false"/>
              <w:jc w:val="center"/>
              <w:rPr>
                <w:sz w:val="16"/>
              </w:rPr>
            </w:pPr>
            <w:r>
              <w:rPr>
                <w:sz w:val="16"/>
              </w:rPr>
              <w:t>11</w:t>
            </w:r>
          </w:p>
        </w:tc>
        <w:tc>
          <w:tcPr>
            <w:tcW w:w="2412" w:type="dxa"/>
            <w:tcBorders>
              <w:top w:val="single" w:sz="4" w:space="0" w:color="000000"/>
              <w:left w:val="single" w:sz="4" w:space="0" w:color="000000"/>
              <w:bottom w:val="single" w:sz="4" w:space="0" w:color="000000"/>
            </w:tcBorders>
            <w:vAlign w:val="center"/>
          </w:tcPr>
          <w:p>
            <w:pPr>
              <w:pStyle w:val="Normal"/>
              <w:snapToGrid w:val="false"/>
              <w:rPr>
                <w:sz w:val="16"/>
              </w:rPr>
            </w:pPr>
            <w:r>
              <w:rPr>
                <w:sz w:val="16"/>
              </w:rPr>
              <w:t>Authors’ names</w:t>
            </w:r>
          </w:p>
        </w:tc>
        <w:tc>
          <w:tcPr>
            <w:tcW w:w="900" w:type="dxa"/>
            <w:tcBorders>
              <w:top w:val="single" w:sz="4" w:space="0" w:color="000000"/>
              <w:left w:val="single" w:sz="4" w:space="0" w:color="000000"/>
              <w:bottom w:val="single" w:sz="4" w:space="0" w:color="000000"/>
            </w:tcBorders>
            <w:vAlign w:val="center"/>
          </w:tcPr>
          <w:p>
            <w:pPr>
              <w:pStyle w:val="Normal"/>
              <w:snapToGrid w:val="false"/>
              <w:rPr>
                <w:sz w:val="16"/>
              </w:rPr>
            </w:pPr>
            <w:r>
              <w:rPr>
                <w:sz w:val="16"/>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16"/>
              </w:rPr>
            </w:pPr>
            <w:r>
              <w:rPr>
                <w:sz w:val="16"/>
              </w:rPr>
            </w:r>
          </w:p>
        </w:tc>
      </w:tr>
      <w:tr>
        <w:trPr>
          <w:trHeight w:val="240" w:hRule="atLeast"/>
        </w:trPr>
        <w:tc>
          <w:tcPr>
            <w:tcW w:w="558" w:type="dxa"/>
            <w:tcBorders>
              <w:left w:val="single" w:sz="4" w:space="0" w:color="000000"/>
              <w:bottom w:val="single" w:sz="4" w:space="0" w:color="000000"/>
            </w:tcBorders>
            <w:vAlign w:val="center"/>
          </w:tcPr>
          <w:p>
            <w:pPr>
              <w:pStyle w:val="Normal"/>
              <w:snapToGrid w:val="false"/>
              <w:jc w:val="center"/>
              <w:rPr>
                <w:sz w:val="16"/>
              </w:rPr>
            </w:pPr>
            <w:r>
              <w:rPr>
                <w:sz w:val="16"/>
              </w:rPr>
              <w:t>24</w:t>
            </w:r>
          </w:p>
        </w:tc>
        <w:tc>
          <w:tcPr>
            <w:tcW w:w="2412" w:type="dxa"/>
            <w:tcBorders>
              <w:top w:val="single" w:sz="4" w:space="0" w:color="000000"/>
              <w:left w:val="single" w:sz="4" w:space="0" w:color="000000"/>
              <w:bottom w:val="single" w:sz="4" w:space="0" w:color="000000"/>
            </w:tcBorders>
            <w:vAlign w:val="center"/>
          </w:tcPr>
          <w:p>
            <w:pPr>
              <w:pStyle w:val="Normal"/>
              <w:snapToGrid w:val="false"/>
              <w:rPr>
                <w:sz w:val="16"/>
              </w:rPr>
            </w:pPr>
            <w:r>
              <w:rPr>
                <w:sz w:val="16"/>
              </w:rPr>
              <w:t>Paper title</w:t>
            </w:r>
          </w:p>
        </w:tc>
        <w:tc>
          <w:tcPr>
            <w:tcW w:w="900" w:type="dxa"/>
            <w:tcBorders>
              <w:top w:val="single" w:sz="4" w:space="0" w:color="000000"/>
              <w:left w:val="single" w:sz="4" w:space="0" w:color="000000"/>
              <w:bottom w:val="single" w:sz="4" w:space="0" w:color="000000"/>
            </w:tcBorders>
            <w:vAlign w:val="center"/>
          </w:tcPr>
          <w:p>
            <w:pPr>
              <w:pStyle w:val="Normal"/>
              <w:snapToGrid w:val="false"/>
              <w:rPr>
                <w:sz w:val="16"/>
              </w:rPr>
            </w:pPr>
            <w:r>
              <w:rPr>
                <w:sz w:val="16"/>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rPr>
                <w:sz w:val="16"/>
              </w:rPr>
            </w:pPr>
            <w:r>
              <w:rPr>
                <w:sz w:val="16"/>
              </w:rPr>
            </w:r>
          </w:p>
        </w:tc>
      </w:tr>
      <w:tr>
        <w:trPr>
          <w:trHeight w:val="280" w:hRule="atLeast"/>
        </w:trPr>
        <w:tc>
          <w:tcPr>
            <w:tcW w:w="558" w:type="dxa"/>
            <w:tcBorders/>
            <w:vAlign w:val="center"/>
          </w:tcPr>
          <w:p>
            <w:pPr>
              <w:pStyle w:val="Normal"/>
              <w:snapToGrid w:val="false"/>
              <w:jc w:val="center"/>
              <w:rPr>
                <w:sz w:val="16"/>
              </w:rPr>
            </w:pPr>
            <w:r>
              <w:rPr>
                <w:sz w:val="16"/>
              </w:rPr>
            </w:r>
          </w:p>
        </w:tc>
        <w:tc>
          <w:tcPr>
            <w:tcW w:w="2412" w:type="dxa"/>
            <w:tcBorders/>
            <w:vAlign w:val="center"/>
          </w:tcPr>
          <w:p>
            <w:pPr>
              <w:pStyle w:val="Normal"/>
              <w:snapToGrid w:val="false"/>
              <w:rPr/>
            </w:pPr>
            <w:r>
              <w:rPr>
                <w:sz w:val="16"/>
                <w:vertAlign w:val="superscript"/>
              </w:rPr>
              <w:t>a</w:t>
            </w:r>
            <w:r>
              <w:rPr>
                <w:sz w:val="16"/>
              </w:rPr>
              <w:t>Uppercase</w:t>
            </w:r>
          </w:p>
        </w:tc>
        <w:tc>
          <w:tcPr>
            <w:tcW w:w="900" w:type="dxa"/>
            <w:tcBorders/>
            <w:vAlign w:val="center"/>
          </w:tcPr>
          <w:p>
            <w:pPr>
              <w:pStyle w:val="Normal"/>
              <w:snapToGrid w:val="false"/>
              <w:rPr>
                <w:sz w:val="16"/>
              </w:rPr>
            </w:pPr>
            <w:r>
              <w:rPr>
                <w:sz w:val="16"/>
              </w:rPr>
            </w:r>
          </w:p>
        </w:tc>
        <w:tc>
          <w:tcPr>
            <w:tcW w:w="990" w:type="dxa"/>
            <w:tcBorders/>
            <w:vAlign w:val="center"/>
          </w:tcPr>
          <w:p>
            <w:pPr>
              <w:pStyle w:val="Normal"/>
              <w:snapToGrid w:val="false"/>
              <w:rPr>
                <w:sz w:val="16"/>
              </w:rPr>
            </w:pPr>
            <w:r>
              <w:rPr>
                <w:sz w:val="16"/>
              </w:rPr>
            </w:r>
          </w:p>
        </w:tc>
      </w:tr>
    </w:tbl>
    <w:p>
      <w:pPr>
        <w:pStyle w:val="Normal"/>
        <w:tabs>
          <w:tab w:val="right" w:pos="720" w:leader="none"/>
        </w:tabs>
        <w:spacing w:lineRule="auto" w:line="216" w:before="120" w:after="0"/>
        <w:rPr>
          <w:sz w:val="12"/>
        </w:rPr>
      </w:pPr>
      <w:r>
        <w:rPr>
          <w:sz w:val="12"/>
        </w:rPr>
      </w:r>
    </w:p>
    <w:p>
      <w:pPr>
        <w:pStyle w:val="sectionhead1"/>
        <w:numPr>
          <w:ilvl w:val="0"/>
          <w:numId w:val="3"/>
        </w:numPr>
        <w:tabs>
          <w:tab w:val="clear" w:pos="360"/>
          <w:tab w:val="left" w:pos="720" w:leader="none"/>
        </w:tabs>
        <w:spacing w:lineRule="auto" w:line="216" w:before="120" w:after="120"/>
        <w:ind w:hanging="720" w:left="720" w:right="0"/>
        <w:jc w:val="center"/>
        <w:rPr/>
      </w:pPr>
      <w:r>
        <w:rPr/>
        <w:t>Helpful Hints</w:t>
      </w:r>
    </w:p>
    <w:p>
      <w:pPr>
        <w:pStyle w:val="Head2"/>
        <w:numPr>
          <w:ilvl w:val="0"/>
          <w:numId w:val="4"/>
        </w:numPr>
        <w:tabs>
          <w:tab w:val="clear" w:pos="720"/>
          <w:tab w:val="left" w:pos="360" w:leader="none"/>
        </w:tabs>
        <w:spacing w:lineRule="exact" w:line="240" w:before="0" w:after="0"/>
        <w:ind w:hanging="360" w:left="360" w:right="0"/>
        <w:rPr>
          <w:spacing w:val="0"/>
        </w:rPr>
      </w:pPr>
      <w:r>
        <w:rPr>
          <w:spacing w:val="0"/>
        </w:rPr>
        <w:t>Figures and Tables</w:t>
      </w:r>
    </w:p>
    <w:p>
      <w:pPr>
        <w:pStyle w:val="text"/>
        <w:rPr/>
      </w:pPr>
      <w:r>
        <w:rPr/>
        <w:t>Position figures and tables at the tops and bottoms of columns.  Avoid placing them in the middle of columns.  Large figures and tables may span across both columns.  Figure captions should be centered below the figures; table captions should be centered above.  Avoid placing figures and tables before their first mention in the text.  Use the abbreviation “Fig. 1,” even at the beginning of a sentence.</w:t>
      </w:r>
    </w:p>
    <w:p>
      <w:pPr>
        <w:pStyle w:val="text"/>
        <w:rPr/>
      </w:pPr>
      <w:r>
        <w:rPr/>
        <w:t xml:space="preserve">Figure axis labels are often a source of confusion. Use words rather than symbols.  For example, write “Magnetization,” or “Magnetization, M,” not just “M.”  Put units in parentheses.  Do not label axes only with units.  In the example, write “Magnetization (A/m)” or “Magnetization (A </w:t>
      </w:r>
      <w:r>
        <w:rPr>
          <w:rFonts w:cs="Symbol" w:ascii="Symbol" w:hAnsi="Symbol"/>
        </w:rPr>
        <w:sym w:font="Symbol" w:char="f0d7"/>
      </w:r>
      <w:r>
        <w:rPr/>
        <w:t xml:space="preserve"> m</w:t>
      </w:r>
      <w:r>
        <w:rPr>
          <w:vertAlign w:val="superscript"/>
        </w:rPr>
        <w:t>1</w:t>
      </w:r>
      <w:r>
        <w:rPr/>
        <w:t>).” Do not label axes with a ratio of quantities and units.  For example, write “Temperature (K),” not “Temperature/K.”</w:t>
      </w:r>
    </w:p>
    <w:p>
      <w:pPr>
        <w:pStyle w:val="text"/>
        <w:rPr/>
      </w:pPr>
      <w:r>
        <w:rPr/>
        <w:t>Multipliers can be especially confusing.  Write “Magnetization (kA/m)” or “Magnetization (10</w:t>
      </w:r>
      <w:r>
        <w:rPr>
          <w:vertAlign w:val="superscript"/>
        </w:rPr>
        <w:t>3</w:t>
      </w:r>
      <w:r>
        <w:rPr/>
        <w:t xml:space="preserve"> A/m).” Figure labels should be legible, about 10-point type.</w:t>
      </w:r>
    </w:p>
    <w:p>
      <w:pPr>
        <w:pStyle w:val="Head2"/>
        <w:numPr>
          <w:ilvl w:val="1"/>
          <w:numId w:val="4"/>
        </w:numPr>
        <w:tabs>
          <w:tab w:val="clear" w:pos="720"/>
          <w:tab w:val="left" w:pos="1080" w:leader="none"/>
        </w:tabs>
        <w:spacing w:before="120" w:after="0"/>
        <w:ind w:hanging="360" w:left="1080" w:right="0"/>
        <w:rPr/>
      </w:pPr>
      <w:r>
        <w:rPr/>
        <w:t>References</w:t>
      </w:r>
    </w:p>
    <w:p>
      <w:pPr>
        <w:pStyle w:val="text"/>
        <w:rPr/>
      </w:pPr>
      <w:r>
        <w:rPr/>
        <w:t>Number citations consecutively in square brackets [1].  Punctuation follows the bracket [2]. Refer simply to the reference number, as in [3]. Use “Ref. [3]” or Reference [3]” at the beginning of a sentence:  “Reference [3] was the first …”</w:t>
      </w:r>
    </w:p>
    <w:p>
      <w:pPr>
        <w:pStyle w:val="text"/>
        <w:rPr/>
      </w:pPr>
      <w:r>
        <w:rPr/>
        <w:t>Number footnotes separately in superscripts.  Place the actual footnote at the bottom of the column in which it was cited.  Do not put footnotes in the reference list.  Use letters for table footnotes (see Table I).  Give all authors’ names; use “et al.”  if there are six authors or more.  Papers that have not been published, even if they have been submitted for publication, should be cited as “unpublished” [4].  Papers that have been accepted for publication should be cited as “in press” [5].  In a paper title, capitalize the first word and all other words except for conjunctions, prepositions less than seven letters, and prepositional phrases.</w:t>
      </w:r>
    </w:p>
    <w:p>
      <w:pPr>
        <w:pStyle w:val="text"/>
        <w:rPr/>
      </w:pPr>
      <w:r>
        <w:rPr/>
        <w:t>For papers published in translated journals, first give the English citation, then the original foreign-language citation [6].</w:t>
      </w:r>
    </w:p>
    <w:p>
      <w:pPr>
        <w:pStyle w:val="Head2"/>
        <w:numPr>
          <w:ilvl w:val="1"/>
          <w:numId w:val="4"/>
        </w:numPr>
        <w:tabs>
          <w:tab w:val="clear" w:pos="720"/>
          <w:tab w:val="left" w:pos="1080" w:leader="none"/>
        </w:tabs>
        <w:spacing w:before="120" w:after="0"/>
        <w:ind w:hanging="360" w:left="1080" w:right="0"/>
        <w:rPr/>
      </w:pPr>
      <w:r>
        <w:rPr/>
        <w:t>Abbreviations and Acronyms</w:t>
      </w:r>
    </w:p>
    <w:p>
      <w:pPr>
        <w:pStyle w:val="text"/>
        <w:rPr/>
      </w:pPr>
      <w:r>
        <w:rPr/>
        <w:t>Define abbreviations and acronyms the first time they are used in the text, even if they have been defined in the abstract.  Abbreviations such as IEEE, SI, MKS, CGS, sc, dc, and rms do not have to be defined. Do not use abbreviations in the title unless they are unavoidable.</w:t>
      </w:r>
    </w:p>
    <w:p>
      <w:pPr>
        <w:pStyle w:val="Head2"/>
        <w:numPr>
          <w:ilvl w:val="1"/>
          <w:numId w:val="4"/>
        </w:numPr>
        <w:tabs>
          <w:tab w:val="clear" w:pos="720"/>
          <w:tab w:val="left" w:pos="1080" w:leader="none"/>
        </w:tabs>
        <w:spacing w:before="120" w:after="0"/>
        <w:ind w:hanging="360" w:left="1080" w:right="0"/>
        <w:rPr/>
      </w:pPr>
      <w:r>
        <w:rPr/>
        <w:t>Equations</w:t>
      </w:r>
    </w:p>
    <w:p>
      <w:pPr>
        <w:pStyle w:val="text"/>
        <w:rPr/>
      </w:pPr>
      <w:r>
        <w:rPr/>
        <w:t xml:space="preserve">Number equations consecutively with equation numbers in parentheses flush with the right margin, as in (1).  To make your equations more compact, you may use the solidus ( / ), the exp function, or appropriate exponents.  Italicize Roman symbols for quantities and variables, but not Greek symbols.  Use an en dash (–) rather than a hyphen for a minus sign.  Use parentheses to avoid ambiguities in denominators.  Punctuate equations with commas or periods when they are part of a sentence, as in </w:t>
      </w:r>
    </w:p>
    <w:p>
      <w:pPr>
        <w:pStyle w:val="Normal"/>
        <w:tabs>
          <w:tab w:val="clear" w:pos="720"/>
          <w:tab w:val="center" w:pos="2520" w:leader="none"/>
          <w:tab w:val="right" w:pos="5040" w:leader="none"/>
        </w:tabs>
        <w:spacing w:lineRule="auto" w:line="216"/>
        <w:rPr>
          <w:i/>
          <w:i/>
        </w:rPr>
      </w:pPr>
      <w:r>
        <w:rPr>
          <w:i/>
        </w:rPr>
      </w:r>
      <w:bookmarkStart w:id="9" w:name="singleLineEquations"/>
      <w:bookmarkStart w:id="10" w:name="singleLineEquations"/>
      <w:bookmarkEnd w:id="10"/>
    </w:p>
    <w:p>
      <w:pPr>
        <w:pStyle w:val="Normal"/>
        <w:tabs>
          <w:tab w:val="clear" w:pos="720"/>
          <w:tab w:val="center" w:pos="2520" w:leader="none"/>
          <w:tab w:val="right" w:pos="5040" w:leader="none"/>
        </w:tabs>
        <w:spacing w:lineRule="auto" w:line="216"/>
        <w:rPr/>
      </w:pPr>
      <w:r>
        <w:rPr>
          <w:i/>
        </w:rPr>
        <w:tab/>
        <w:t xml:space="preserve">a </w:t>
      </w:r>
      <w:r>
        <w:rPr/>
        <w:t xml:space="preserve">+ </w:t>
      </w:r>
      <w:r>
        <w:rPr>
          <w:i/>
        </w:rPr>
        <w:t>b</w:t>
      </w:r>
      <w:r>
        <w:rPr/>
        <w:t xml:space="preserve"> = </w:t>
      </w:r>
      <w:r>
        <w:rPr>
          <w:i/>
        </w:rPr>
        <w:t>c</w:t>
      </w:r>
      <w:r>
        <w:rPr/>
        <w:t>.</w:t>
        <w:tab/>
        <w:t>(1)</w:t>
      </w:r>
    </w:p>
    <w:p>
      <w:pPr>
        <w:pStyle w:val="text"/>
        <w:rPr/>
      </w:pPr>
      <w:r>
        <w:rPr/>
      </w:r>
    </w:p>
    <w:p>
      <w:pPr>
        <w:pStyle w:val="text"/>
        <w:rPr/>
      </w:pPr>
      <w:r>
        <w:rPr/>
        <w:t>Symbols in your equation should be defined before the equation appears or immediately following.  Use “(1),” not “Eq. (1)” or “equation (1),” except at the beginning of a sentence:  “Equation (1) is …”</w:t>
      </w:r>
    </w:p>
    <w:p>
      <w:pPr>
        <w:pStyle w:val="Head2"/>
        <w:numPr>
          <w:ilvl w:val="1"/>
          <w:numId w:val="4"/>
        </w:numPr>
        <w:tabs>
          <w:tab w:val="clear" w:pos="720"/>
          <w:tab w:val="left" w:pos="1080" w:leader="none"/>
        </w:tabs>
        <w:spacing w:before="120" w:after="0"/>
        <w:ind w:hanging="360" w:left="1080" w:right="0"/>
        <w:rPr/>
      </w:pPr>
      <w:r>
        <w:rPr/>
        <w:t>Other Recommendations</w:t>
      </w:r>
    </w:p>
    <w:p>
      <w:pPr>
        <w:pStyle w:val="text"/>
        <w:rPr/>
      </w:pPr>
      <w:r>
        <w:rPr/>
        <w:t xml:space="preserve">The Roman numerals used to number the section headings are optional.  If you do use them, do not number </w:t>
      </w:r>
      <w:r>
        <w:rPr>
          <w:smallCaps/>
        </w:rPr>
        <w:t>Acknowledgment</w:t>
      </w:r>
      <w:r>
        <w:rPr/>
        <w:t xml:space="preserve"> and </w:t>
      </w:r>
      <w:r>
        <w:rPr>
          <w:smallCaps/>
        </w:rPr>
        <w:t>References</w:t>
      </w:r>
      <w:r>
        <w:rPr/>
        <w:t>, and begin Subheadings with letters.  Use two spaces after periods (full stops).  Hyphenate complex modifiers: “zero-field-cooled magnetization.”  Avoid dangling participles, such as, “Using (1), the potential was calculated.”  Write instead, “The potential was calculated using (1),” or “Using (1), we calculated the potential.”</w:t>
      </w:r>
    </w:p>
    <w:p>
      <w:pPr>
        <w:pStyle w:val="text"/>
        <w:rPr/>
      </w:pPr>
      <w:r>
        <w:rPr/>
        <w:t>Use a zero before decimal points:  “0.25,” not “.25.” Use “cm</w:t>
      </w:r>
      <w:r>
        <w:rPr>
          <w:vertAlign w:val="superscript"/>
        </w:rPr>
        <w:t>3</w:t>
      </w:r>
      <w:r>
        <w:rPr/>
        <w:t>,” not “cc.”  Do not mix complete spellings and abbreviations of units:  “Wb/m</w:t>
      </w:r>
      <w:r>
        <w:rPr>
          <w:vertAlign w:val="superscript"/>
        </w:rPr>
        <w:t>2</w:t>
      </w:r>
      <w:r>
        <w:rPr/>
        <w:t>” or “webers per square meter,” not “webers/m</w:t>
      </w:r>
      <w:r>
        <w:rPr>
          <w:vertAlign w:val="superscript"/>
        </w:rPr>
        <w:t>2</w:t>
      </w:r>
      <w:r>
        <w:rPr/>
        <w:t>.” Spell units when they appear in text:  “…a few henries,” not “…a few H.” If your native language is not English, try to get a native English-speaking colleague to proofread your paper.  Do not add page numbers.</w:t>
      </w:r>
    </w:p>
    <w:p>
      <w:pPr>
        <w:pStyle w:val="text"/>
        <w:rPr/>
      </w:pPr>
      <w:r>
        <w:rPr/>
      </w:r>
    </w:p>
    <w:p>
      <w:pPr>
        <w:pStyle w:val="sectionhead1"/>
        <w:numPr>
          <w:ilvl w:val="0"/>
          <w:numId w:val="3"/>
        </w:numPr>
        <w:tabs>
          <w:tab w:val="clear" w:pos="360"/>
          <w:tab w:val="left" w:pos="720" w:leader="none"/>
        </w:tabs>
        <w:spacing w:lineRule="auto" w:line="216" w:before="120" w:after="120"/>
        <w:ind w:hanging="720" w:left="720" w:right="0"/>
        <w:jc w:val="center"/>
        <w:rPr/>
      </w:pPr>
      <w:r>
        <w:rPr/>
        <w:t>Units</w:t>
      </w:r>
    </w:p>
    <w:p>
      <w:pPr>
        <w:pStyle w:val="text"/>
        <w:rPr/>
      </w:pPr>
      <w:r>
        <w:rPr/>
        <w:t>Use either SI (MKS) or CGS as primary units. (SI units are encouraged.) English units may be used as secondary units (in parentheses). An exception would be the use of English units as identifiers in trade, such as “3.5-inch disk drive.”</w:t>
      </w:r>
    </w:p>
    <w:p>
      <w:pPr>
        <w:pStyle w:val="text"/>
        <w:rPr/>
      </w:pPr>
      <w:r>
        <w:rP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pPr>
        <w:pStyle w:val="sectionhead1"/>
        <w:numPr>
          <w:ilvl w:val="0"/>
          <w:numId w:val="3"/>
        </w:numPr>
        <w:tabs>
          <w:tab w:val="clear" w:pos="360"/>
          <w:tab w:val="left" w:pos="720" w:leader="none"/>
        </w:tabs>
        <w:spacing w:lineRule="auto" w:line="216" w:before="120" w:after="120"/>
        <w:ind w:hanging="720" w:left="720" w:right="0"/>
        <w:jc w:val="center"/>
        <w:rPr/>
      </w:pPr>
      <w:r>
        <w:rPr/>
        <w:t>Some Common Mistakes</w:t>
      </w:r>
    </w:p>
    <w:p>
      <w:pPr>
        <w:pStyle w:val="text"/>
        <w:rPr/>
      </w:pPr>
      <w:r>
        <w:rPr/>
        <w:t>The word “data” is plural, not singular.  The subscript for the permeability of vacuum</w:t>
      </w:r>
      <w:r>
        <w:rPr>
          <w:vertAlign w:val="subscript"/>
        </w:rPr>
        <w:t>0</w:t>
      </w:r>
      <w:r>
        <w:rPr/>
        <w:t xml:space="preserve"> is zero, not a lowercase letter “o.”  In American English, periods and commas are within quotation marks, like “this period.”  A parenthetical statement at the end of a sentence is punctuated outside of the closing parenthesis (like this).  (A parenthetical </w:t>
      </w:r>
      <w:r>
        <w:rPr>
          <w:i/>
        </w:rPr>
        <w:t>sentence</w:t>
      </w:r>
      <w:r>
        <w:rPr/>
        <w:t xml:space="preserve"> is punctuated within the parentheses.)  A graph within a graph is an “inset,” not an “insert.”  The word alternatively is preferred to the word “alternately” (unless you mean something that alternates).  Do not use the word “essentially” to mean “approximately” or “effectively.”  Be aware of the different meanings of the homophones “affect” and “effect,” “complement” and “compliment,” “discreet” and “discrete,” “principal” and “principle.”  Do not confuse “imply” and “infer.”  The prefix “non” is not a word; it should be joined to the word it modifies, usually without a hyphen.  There is no period after the “et” in the Latin abbreviation “et al.”  The abbreviation “i.e.” means “that is,” and the abbreviation “e.g.” means “for example.”  An excellent style manual for science writers is [7].</w:t>
      </w:r>
    </w:p>
    <w:p>
      <w:pPr>
        <w:pStyle w:val="sectionheadnonums"/>
        <w:rPr/>
      </w:pPr>
      <w:r>
        <w:rPr/>
        <w:t>Acknowledgment</w:t>
      </w:r>
    </w:p>
    <w:p>
      <w:pPr>
        <w:pStyle w:val="text"/>
        <w:rPr/>
      </w:pPr>
      <w:r>
        <w:rPr/>
        <w:t xml:space="preserve">The preferred spelling of the word “acknowledgment” in America is without an “e” after the “g.”  Try to avoid the stilted expression, “One of us (R. B. G.) thanks …” Instead, try “R.B.G. thanks …”  </w:t>
      </w:r>
    </w:p>
    <w:p>
      <w:pPr>
        <w:pStyle w:val="sectionheadnonums"/>
        <w:rPr/>
      </w:pPr>
      <w:r>
        <w:rPr/>
        <w:t>References</w:t>
      </w:r>
    </w:p>
    <w:p>
      <w:pPr>
        <w:pStyle w:val="references"/>
        <w:rPr/>
      </w:pPr>
      <w:bookmarkStart w:id="11" w:name="references"/>
      <w:bookmarkEnd w:id="11"/>
      <w:r>
        <w:rPr/>
        <w:t>[1]</w:t>
        <w:tab/>
        <w:t xml:space="preserve">G. Eason, B. Noble, and I.N. Sneddon, “On certain integrals of Lipschitz-Hankel type involving products of Bessel functions,” </w:t>
      </w:r>
      <w:r>
        <w:rPr>
          <w:i/>
        </w:rPr>
        <w:t>Phil. Trans. Roy. Soc. London,</w:t>
      </w:r>
      <w:r>
        <w:rPr/>
        <w:t xml:space="preserve"> vol. A247, pp. 529-551, April 1955.</w:t>
      </w:r>
    </w:p>
    <w:p>
      <w:pPr>
        <w:pStyle w:val="references"/>
        <w:rPr/>
      </w:pPr>
      <w:r>
        <w:rPr/>
        <w:t>[2]</w:t>
        <w:tab/>
        <w:t xml:space="preserve">J. Clerk Maxwell, </w:t>
      </w:r>
      <w:r>
        <w:rPr>
          <w:i/>
        </w:rPr>
        <w:t>A Treatise on Electricity and Magnetism,</w:t>
      </w:r>
      <w:r>
        <w:rPr/>
        <w:t xml:space="preserve"> 3</w:t>
      </w:r>
      <w:r>
        <w:rPr>
          <w:vertAlign w:val="superscript"/>
        </w:rPr>
        <w:t>rd</w:t>
      </w:r>
      <w:r>
        <w:rPr/>
        <w:t xml:space="preserve"> ed., vol. 2. Oxford:  Clarendon, 1892, pp.68-73.</w:t>
      </w:r>
    </w:p>
    <w:p>
      <w:pPr>
        <w:pStyle w:val="references"/>
        <w:rPr/>
      </w:pPr>
      <w:r>
        <w:rPr/>
        <w:t>[3]</w:t>
        <w:tab/>
        <w:t xml:space="preserve">I.S. Jacobs and C.P. Bean, “Fine particles, thin films and exchange anisotropy,” in </w:t>
      </w:r>
      <w:r>
        <w:rPr>
          <w:i/>
        </w:rPr>
        <w:t>Magnetism,</w:t>
      </w:r>
      <w:r>
        <w:rPr/>
        <w:t xml:space="preserve"> vol. III, G.T. Rado and H. Suhl, Eds. New York: Academic, 1963, pp. 271-350.</w:t>
      </w:r>
    </w:p>
    <w:p>
      <w:pPr>
        <w:pStyle w:val="references"/>
        <w:rPr/>
      </w:pPr>
      <w:r>
        <w:rPr/>
        <w:t>[4]</w:t>
        <w:tab/>
        <w:t>K. Elissa, “Title of paper if known,” unpublished.</w:t>
      </w:r>
    </w:p>
    <w:p>
      <w:pPr>
        <w:pStyle w:val="references"/>
        <w:rPr/>
      </w:pPr>
      <w:r>
        <w:rPr/>
        <w:t>[5]</w:t>
        <w:tab/>
        <w:t xml:space="preserve">R. Nicole, “Title of paper with only first word capitalized,” </w:t>
      </w:r>
      <w:r>
        <w:rPr>
          <w:i/>
        </w:rPr>
        <w:t>J. Name Stand. Abbrev.,</w:t>
      </w:r>
      <w:r>
        <w:rPr/>
        <w:t xml:space="preserve"> in press.</w:t>
      </w:r>
    </w:p>
    <w:p>
      <w:pPr>
        <w:pStyle w:val="references"/>
        <w:rPr/>
      </w:pPr>
      <w:r>
        <w:rPr/>
        <w:t>[6]</w:t>
        <w:tab/>
        <w:t xml:space="preserve">Y. Yorozu, M. Hirano, K. Oka, and Y. Tagawa, “Electron spectroscopy studies on magneto-optical media and plastic substrate interface,” </w:t>
      </w:r>
      <w:r>
        <w:rPr>
          <w:i/>
        </w:rPr>
        <w:t>IEEE Transl. J. Magn. Japan</w:t>
      </w:r>
      <w:r>
        <w:rPr/>
        <w:t>, vol. 2, pp. 740-741, August 1987 [</w:t>
      </w:r>
      <w:r>
        <w:rPr>
          <w:i/>
        </w:rPr>
        <w:t>Digests 9</w:t>
      </w:r>
      <w:r>
        <w:rPr>
          <w:i/>
          <w:vertAlign w:val="superscript"/>
        </w:rPr>
        <w:t>th</w:t>
      </w:r>
      <w:r>
        <w:rPr>
          <w:i/>
        </w:rPr>
        <w:t xml:space="preserve"> Annual Conf. Magnetics Japan,</w:t>
      </w:r>
      <w:r>
        <w:rPr/>
        <w:t xml:space="preserve"> p. 301, 1982].</w:t>
      </w:r>
    </w:p>
    <w:p>
      <w:pPr>
        <w:pStyle w:val="references"/>
        <w:rPr/>
      </w:pPr>
      <w:r>
        <w:rPr/>
        <w:t>[7]</w:t>
        <w:tab/>
        <w:t xml:space="preserve">M. Young, </w:t>
      </w:r>
      <w:r>
        <w:rPr>
          <w:i/>
        </w:rPr>
        <w:t>The Technical Writer’s Handbook.</w:t>
      </w:r>
      <w:r>
        <w:rPr/>
        <w:t xml:space="preserve"> Mill Valley, CA: University Science, 1989.</w:t>
      </w:r>
    </w:p>
    <w:sectPr>
      <w:type w:val="continuous"/>
      <w:pgSz w:w="11906" w:h="16838"/>
      <w:pgMar w:left="850" w:right="850" w:gutter="0" w:header="0" w:top="1080" w:footer="0" w:bottom="2261"/>
      <w:cols w:num="2" w:space="244"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Symbol">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360"/>
        </w:tabs>
        <w:ind w:left="360" w:hanging="360"/>
      </w:pPr>
    </w:lvl>
    <w:lvl w:ilvl="1">
      <w:start w:val="1"/>
      <w:pStyle w:val="Heading2"/>
      <w:numFmt w:val="decimal"/>
      <w:lvlText w:val="%2."/>
      <w:lvlJc w:val="left"/>
      <w:pPr>
        <w:tabs>
          <w:tab w:val="num" w:pos="1080"/>
        </w:tabs>
        <w:ind w:left="1080" w:hanging="360"/>
      </w:pPr>
    </w:lvl>
    <w:lvl w:ilvl="2">
      <w:start w:val="1"/>
      <w:pStyle w:val="Heading3"/>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upperLett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upperRoman"/>
      <w:lvlText w:val="%1."/>
      <w:lvlJc w:val="left"/>
      <w:pPr>
        <w:tabs>
          <w:tab w:val="num" w:pos="720"/>
        </w:tabs>
        <w:ind w:left="720" w:hanging="720"/>
      </w:pPr>
    </w:lvl>
  </w:abstractNum>
  <w:abstractNum w:abstractNumId="4">
    <w:lvl w:ilvl="0">
      <w:start w:val="1"/>
      <w:numFmt w:val="upperLett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isplayBackgroundShape/>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pt-BR" w:eastAsia="zh-CN" w:bidi="hi-IN"/>
      </w:rPr>
    </w:rPrDefault>
    <w:pPrDefault>
      <w:pPr>
        <w:suppressAutoHyphens w:val="true"/>
      </w:pPr>
    </w:pPrDefault>
  </w:docDefaults>
  <w:style w:type="paragraph" w:styleId="Normal">
    <w:name w:val="Normal"/>
    <w:qFormat/>
    <w:pPr>
      <w:widowControl/>
      <w:suppressAutoHyphens w:val="true"/>
      <w:bidi w:val="0"/>
      <w:jc w:val="left"/>
    </w:pPr>
    <w:rPr>
      <w:rFonts w:ascii="Times New Roman" w:hAnsi="Times New Roman" w:eastAsia="Times New Roman" w:cs="Times New Roman"/>
      <w:color w:val="auto"/>
      <w:sz w:val="20"/>
      <w:szCs w:val="20"/>
      <w:lang w:val="en-US" w:eastAsia="zxx" w:bidi="zxx"/>
    </w:rPr>
  </w:style>
  <w:style w:type="paragraph" w:styleId="Heading1">
    <w:name w:val="Heading 1"/>
    <w:basedOn w:val="Normal"/>
    <w:next w:val="Normal"/>
    <w:qFormat/>
    <w:pPr>
      <w:keepNext w:val="true"/>
      <w:jc w:val="center"/>
      <w:outlineLvl w:val="0"/>
    </w:pPr>
    <w:rPr>
      <w:sz w:val="24"/>
    </w:rPr>
  </w:style>
  <w:style w:type="paragraph" w:styleId="Heading2">
    <w:name w:val="Heading 2"/>
    <w:basedOn w:val="Normal"/>
    <w:next w:val="Normal"/>
    <w:qFormat/>
    <w:pPr>
      <w:keepNext w:val="true"/>
      <w:numPr>
        <w:ilvl w:val="1"/>
        <w:numId w:val="1"/>
      </w:numPr>
      <w:ind w:hanging="360" w:left="360" w:right="0"/>
      <w:jc w:val="both"/>
      <w:outlineLvl w:val="1"/>
    </w:pPr>
    <w:rPr>
      <w:i/>
    </w:rPr>
  </w:style>
  <w:style w:type="paragraph" w:styleId="Heading3">
    <w:name w:val="Heading 3"/>
    <w:basedOn w:val="Normal"/>
    <w:next w:val="Normal"/>
    <w:qFormat/>
    <w:pPr>
      <w:keepNext w:val="true"/>
      <w:numPr>
        <w:ilvl w:val="2"/>
        <w:numId w:val="1"/>
      </w:numPr>
      <w:ind w:hanging="360" w:left="360" w:right="0"/>
      <w:jc w:val="center"/>
      <w:outlineLvl w:val="2"/>
    </w:pPr>
    <w:rPr>
      <w:i/>
    </w:rPr>
  </w:style>
  <w:style w:type="paragraph" w:styleId="Heading4">
    <w:name w:val="Heading 4"/>
    <w:basedOn w:val="Normal"/>
    <w:next w:val="Normal"/>
    <w:qFormat/>
    <w:pPr>
      <w:keepNext w:val="true"/>
      <w:numPr>
        <w:ilvl w:val="0"/>
        <w:numId w:val="3"/>
      </w:numPr>
      <w:spacing w:lineRule="auto" w:line="216" w:before="0" w:after="120"/>
      <w:ind w:hanging="0" w:left="0" w:right="0"/>
      <w:jc w:val="both"/>
      <w:outlineLvl w:val="3"/>
    </w:pPr>
    <w:rPr>
      <w:i/>
    </w:rPr>
  </w:style>
  <w:style w:type="character" w:styleId="Absatz-Standardschriftart">
    <w:name w:val="Absatz-Standardschriftart"/>
    <w:qFormat/>
    <w:rPr/>
  </w:style>
  <w:style w:type="character" w:styleId="WW8Num6z0">
    <w:name w:val="WW8Num6z0"/>
    <w:qFormat/>
    <w:rPr>
      <w:rFonts w:ascii="Wingdings" w:hAnsi="Wingdings" w:cs="Wingdings"/>
    </w:rPr>
  </w:style>
  <w:style w:type="character" w:styleId="WW8Num7z0">
    <w:name w:val="WW8Num7z0"/>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basedOn w:val="DefaultParagraphFont"/>
    <w:rPr>
      <w:color w:val="0000FF"/>
      <w:u w:val="single"/>
    </w:rPr>
  </w:style>
  <w:style w:type="paragraph" w:styleId="Heading">
    <w:name w:val="Heading"/>
    <w:basedOn w:val="Normal"/>
    <w:next w:val="BodyText"/>
    <w:qFormat/>
    <w:pPr>
      <w:keepNext w:val="true"/>
      <w:spacing w:before="240" w:after="120"/>
    </w:pPr>
    <w:rPr>
      <w:rFonts w:ascii="Arial" w:hAnsi="Arial" w:eastAsia="Bitstream Vera Sans" w:cs="Bitstream Vera Sans"/>
      <w:sz w:val="28"/>
      <w:szCs w:val="28"/>
    </w:rPr>
  </w:style>
  <w:style w:type="paragraph" w:styleId="BodyText">
    <w:name w:val="Body Text"/>
    <w:basedOn w:val="Normal"/>
    <w:pPr/>
    <w:rPr>
      <w:b/>
      <w:sz w:val="28"/>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BodyTextIndent">
    <w:name w:val="Body Text Indent"/>
    <w:basedOn w:val="Normal"/>
    <w:pPr>
      <w:ind w:hanging="0" w:left="360" w:right="0"/>
      <w:jc w:val="both"/>
    </w:pPr>
    <w:rPr/>
  </w:style>
  <w:style w:type="paragraph" w:styleId="BodyTextIndent2">
    <w:name w:val="Body Text Indent 2"/>
    <w:basedOn w:val="Normal"/>
    <w:qFormat/>
    <w:pPr>
      <w:ind w:firstLine="288" w:left="0" w:right="0"/>
      <w:jc w:val="both"/>
    </w:pPr>
    <w:rPr>
      <w:b/>
      <w:sz w:val="18"/>
    </w:rPr>
  </w:style>
  <w:style w:type="paragraph" w:styleId="BodyTextIndent3">
    <w:name w:val="Body Text Indent 3"/>
    <w:basedOn w:val="Normal"/>
    <w:qFormat/>
    <w:pPr>
      <w:ind w:firstLine="360" w:left="0" w:right="0"/>
      <w:jc w:val="both"/>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pPr>
    <w:rPr/>
  </w:style>
  <w:style w:type="paragraph" w:styleId="Footer">
    <w:name w:val="Footer"/>
    <w:basedOn w:val="Normal"/>
    <w:pPr>
      <w:tabs>
        <w:tab w:val="clear" w:pos="720"/>
        <w:tab w:val="center" w:pos="4320" w:leader="none"/>
        <w:tab w:val="right" w:pos="8640" w:leader="none"/>
      </w:tabs>
    </w:pPr>
    <w:rPr/>
  </w:style>
  <w:style w:type="paragraph" w:styleId="Papertitle">
    <w:name w:val="Paper title"/>
    <w:basedOn w:val="BodyText"/>
    <w:qFormat/>
    <w:pPr>
      <w:jc w:val="center"/>
    </w:pPr>
    <w:rPr>
      <w:b w:val="false"/>
      <w:sz w:val="50"/>
    </w:rPr>
  </w:style>
  <w:style w:type="paragraph" w:styleId="authoraffiliation">
    <w:name w:val="author affiliation"/>
    <w:basedOn w:val="Normal"/>
    <w:qFormat/>
    <w:pPr>
      <w:jc w:val="center"/>
    </w:pPr>
    <w:rPr/>
  </w:style>
  <w:style w:type="paragraph" w:styleId="abstract">
    <w:name w:val="abstract"/>
    <w:basedOn w:val="BodyTextIndent2"/>
    <w:qFormat/>
    <w:pPr>
      <w:spacing w:lineRule="exact" w:line="200" w:before="0" w:after="120"/>
    </w:pPr>
    <w:rPr/>
  </w:style>
  <w:style w:type="paragraph" w:styleId="abstracthead">
    <w:name w:val="abstract head"/>
    <w:basedOn w:val="abstract"/>
    <w:qFormat/>
    <w:pPr/>
    <w:rPr>
      <w:i/>
    </w:rPr>
  </w:style>
  <w:style w:type="paragraph" w:styleId="abstractheader">
    <w:name w:val="abstract header"/>
    <w:basedOn w:val="abstract"/>
    <w:qFormat/>
    <w:pPr/>
    <w:rPr>
      <w:i/>
    </w:rPr>
  </w:style>
  <w:style w:type="paragraph" w:styleId="abstractname">
    <w:name w:val="abstract name"/>
    <w:basedOn w:val="abstract"/>
    <w:qFormat/>
    <w:pPr/>
    <w:rPr>
      <w:i/>
    </w:rPr>
  </w:style>
  <w:style w:type="paragraph" w:styleId="text">
    <w:name w:val="text"/>
    <w:basedOn w:val="Normal"/>
    <w:qFormat/>
    <w:pPr>
      <w:spacing w:lineRule="exact" w:line="240"/>
      <w:ind w:firstLine="187" w:left="0" w:right="0"/>
      <w:jc w:val="both"/>
    </w:pPr>
    <w:rPr/>
  </w:style>
  <w:style w:type="paragraph" w:styleId="sectionhead1">
    <w:name w:val="section head (1)"/>
    <w:basedOn w:val="Normal"/>
    <w:qFormat/>
    <w:pPr>
      <w:numPr>
        <w:ilvl w:val="0"/>
        <w:numId w:val="3"/>
      </w:numPr>
      <w:tabs>
        <w:tab w:val="clear" w:pos="720"/>
        <w:tab w:val="left" w:pos="360" w:leader="none"/>
      </w:tabs>
      <w:spacing w:lineRule="auto" w:line="216" w:before="120" w:after="120"/>
      <w:ind w:hanging="0" w:left="0" w:right="0"/>
      <w:jc w:val="center"/>
    </w:pPr>
    <w:rPr>
      <w:smallCaps/>
    </w:rPr>
  </w:style>
  <w:style w:type="paragraph" w:styleId="Head2">
    <w:name w:val="Head 2"/>
    <w:basedOn w:val="Heading2"/>
    <w:qFormat/>
    <w:pPr>
      <w:numPr>
        <w:ilvl w:val="0"/>
        <w:numId w:val="4"/>
      </w:numPr>
      <w:spacing w:before="120" w:after="0"/>
      <w:ind w:hanging="0" w:left="0" w:right="0"/>
      <w:outlineLvl w:val="9"/>
    </w:pPr>
    <w:rPr>
      <w:spacing w:val="-8"/>
    </w:rPr>
  </w:style>
  <w:style w:type="paragraph" w:styleId="sectionheadnonums">
    <w:name w:val="section head (no nums)"/>
    <w:basedOn w:val="Normal"/>
    <w:qFormat/>
    <w:pPr>
      <w:spacing w:before="120" w:after="120"/>
      <w:jc w:val="center"/>
    </w:pPr>
    <w:rPr>
      <w:smallCaps/>
    </w:rPr>
  </w:style>
  <w:style w:type="paragraph" w:styleId="authorname">
    <w:name w:val="author name"/>
    <w:basedOn w:val="Heading1"/>
    <w:qFormat/>
    <w:pPr/>
    <w:rPr>
      <w:sz w:val="22"/>
    </w:rPr>
  </w:style>
  <w:style w:type="paragraph" w:styleId="references">
    <w:name w:val="references"/>
    <w:basedOn w:val="Normal"/>
    <w:qFormat/>
    <w:pPr>
      <w:spacing w:lineRule="exact" w:line="180"/>
      <w:ind w:hanging="360" w:left="360" w:right="0"/>
      <w:jc w:val="both"/>
    </w:pPr>
    <w:rPr>
      <w:sz w:val="16"/>
    </w:rPr>
  </w:style>
  <w:style w:type="paragraph" w:styleId="FootnoteText">
    <w:name w:val="Footnote Text"/>
    <w:basedOn w:val="Normal"/>
    <w:pPr>
      <w:autoSpaceDE w:val="false"/>
      <w:ind w:firstLine="202" w:left="0" w:right="0"/>
      <w:jc w:val="both"/>
    </w:pPr>
    <w:rPr>
      <w:sz w:val="16"/>
    </w:rPr>
  </w:style>
  <w:style w:type="paragraph" w:styleId="Author">
    <w:name w:val="Author"/>
    <w:basedOn w:val="Normal"/>
    <w:qFormat/>
    <w:pPr>
      <w:jc w:val="center"/>
    </w:pPr>
    <w:rPr>
      <w:sz w:val="24"/>
    </w:rPr>
  </w:style>
  <w:style w:type="paragraph" w:styleId="Affiliation">
    <w:name w:val="Affiliation"/>
    <w:basedOn w:val="Normal"/>
    <w:qFormat/>
    <w:pPr>
      <w:jc w:val="center"/>
    </w:pPr>
    <w:rPr>
      <w:i/>
      <w:sz w:val="24"/>
    </w:rPr>
  </w:style>
  <w:style w:type="paragraph" w:styleId="Framecontents">
    <w:name w:val="Frame contents"/>
    <w:basedOn w:val="BodyText"/>
    <w:qFormat/>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FrameContents1">
    <w:name w:val="Frame Contents1"/>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\Program Files\Microsoft Office\Templates\Other Documents\Sample Manuscript2.dot</Template>
  <TotalTime>9</TotalTime>
  <Application>LibreOffice/24.2.7.2$Linux_X86_64 LibreOffice_project/420$Build-2</Application>
  <AppVersion>15.0000</AppVersion>
  <Pages>4</Pages>
  <Words>1437</Words>
  <Characters>7457</Characters>
  <CharactersWithSpaces>8879</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2004-04-08T21:08:00Z</dcterms:created>
  <dc:creator>Laura Hyslop</dc:creator>
  <dc:description/>
  <dc:language>pt-BR</dc:language>
  <cp:lastModifiedBy>John Y. Hung</cp:lastModifiedBy>
  <cp:lastPrinted>2000-04-04T16:41:00Z</cp:lastPrinted>
  <dcterms:modified xsi:type="dcterms:W3CDTF">2007-09-28T02:25:00Z</dcterms:modified>
  <cp:revision>3</cp:revision>
  <dc:subject/>
  <dc:title>Preparation of Papers in Two-Column Format for the Proceedings of the 2004 Sarnoff Symposium</dc:title>
</cp:coreProperties>
</file>