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2B6CB0"/>
          <w:sz w:val="24"/>
        </w:rPr>
        <w:t>PROYECTO DE INNOVACIÓN TECNOLÓGICA MÓVIL UNIVERSITARIA</w:t>
      </w:r>
    </w:p>
    <w:p>
      <w:pPr>
        <w:spacing w:before="0" w:after="480"/>
        <w:jc w:val="center"/>
      </w:pPr>
      <w:r>
        <w:rPr>
          <w:rFonts w:ascii="Calibri" w:hAnsi="Calibri"/>
          <w:color w:val="718096"/>
          <w:sz w:val="20"/>
        </w:rPr>
        <w:t>INGENIERÍA DE SISTEMAS E INFORMÁTICA</w:t>
      </w:r>
    </w:p>
    <w:p>
      <w:pPr>
        <w:spacing w:after="400"/>
        <w:jc w:val="center"/>
      </w:pPr>
      <w:r>
        <w:drawing>
          <wp:inline xmlns:a="http://schemas.openxmlformats.org/drawingml/2006/main" xmlns:pic="http://schemas.openxmlformats.org/drawingml/2006/picture">
            <wp:extent cx="2011680" cy="1096208"/>
            <wp:docPr id="1" name="Picture 1"/>
            <wp:cNvGraphicFramePr>
              <a:graphicFrameLocks noChangeAspect="1"/>
            </wp:cNvGraphicFramePr>
            <a:graphic>
              <a:graphicData uri="http://schemas.openxmlformats.org/drawingml/2006/picture">
                <pic:pic>
                  <pic:nvPicPr>
                    <pic:cNvPr id="0" name="app_logo.png"/>
                    <pic:cNvPicPr/>
                  </pic:nvPicPr>
                  <pic:blipFill>
                    <a:blip r:embed="rId9"/>
                    <a:stretch>
                      <a:fillRect/>
                    </a:stretch>
                  </pic:blipFill>
                  <pic:spPr>
                    <a:xfrm>
                      <a:off x="0" y="0"/>
                      <a:ext cx="2011680" cy="1096208"/>
                    </a:xfrm>
                    <a:prstGeom prst="rect"/>
                  </pic:spPr>
                </pic:pic>
              </a:graphicData>
            </a:graphic>
          </wp:inline>
        </w:drawing>
      </w:r>
    </w:p>
    <w:p>
      <w:pPr>
        <w:spacing w:before="160" w:after="160"/>
        <w:jc w:val="center"/>
      </w:pPr>
      <w:r>
        <w:rPr>
          <w:rFonts w:ascii="Calibri" w:hAnsi="Calibri"/>
          <w:b/>
          <w:color w:val="1A365D"/>
          <w:sz w:val="44"/>
        </w:rPr>
        <w:t>DOCUMENTACIÓN TÉCNICA, ARQUITECTÓNICA Y AUDITORÍA INTEGRAL</w:t>
      </w:r>
    </w:p>
    <w:p>
      <w:pPr>
        <w:spacing w:before="0" w:after="240"/>
        <w:jc w:val="center"/>
      </w:pPr>
      <w:r>
        <w:rPr>
          <w:rFonts w:ascii="Calibri" w:hAnsi="Calibri"/>
          <w:b/>
          <w:color w:val="2B6CB0"/>
          <w:sz w:val="36"/>
        </w:rPr>
        <w:t>ESTUDIHAMBRES (CAMPUSPASS)</w:t>
      </w:r>
    </w:p>
    <w:p>
      <w:pPr>
        <w:spacing w:before="80" w:after="720"/>
        <w:jc w:val="center"/>
      </w:pPr>
      <w:r>
        <w:rPr>
          <w:rFonts w:ascii="Calibri" w:hAnsi="Calibri"/>
          <w:i/>
          <w:color w:val="2D3748"/>
          <w:sz w:val="24"/>
        </w:rPr>
        <w:t>Plataforma Nativa Android de Beneficios Universitarios, Verificación Inteligente de Carnet mediante OCR, Blindaje de Identidad SUNEDU y Radar de Convenios</w:t>
      </w:r>
    </w:p>
    <w:p>
      <w:pPr>
        <w:spacing w:before="480" w:after="80"/>
        <w:jc w:val="center"/>
      </w:pPr>
      <w:r>
        <w:rPr>
          <w:rFonts w:ascii="Calibri" w:hAnsi="Calibri"/>
          <w:b/>
          <w:sz w:val="22"/>
        </w:rPr>
        <w:t xml:space="preserve">Versión del Software: </w:t>
      </w:r>
      <w:r>
        <w:rPr>
          <w:rFonts w:ascii="Calibri" w:hAnsi="Calibri"/>
        </w:rPr>
        <w:t>1.2.4 (Build 6) — Versión Auditada y Certificada</w:t>
        <w:br/>
      </w:r>
      <w:r>
        <w:rPr>
          <w:rFonts w:ascii="Calibri" w:hAnsi="Calibri"/>
          <w:b/>
          <w:sz w:val="22"/>
        </w:rPr>
        <w:t xml:space="preserve">Fecha de Publicación: </w:t>
      </w:r>
      <w:r>
        <w:rPr>
          <w:rFonts w:ascii="Calibri" w:hAnsi="Calibri"/>
        </w:rPr>
        <w:t>Octubre de 2026</w:t>
        <w:br/>
      </w:r>
      <w:r>
        <w:rPr>
          <w:rFonts w:ascii="Calibri" w:hAnsi="Calibri"/>
          <w:b/>
          <w:sz w:val="22"/>
        </w:rPr>
        <w:t xml:space="preserve">Normativa de Referenciación Documental: </w:t>
      </w:r>
      <w:r>
        <w:rPr>
          <w:rFonts w:ascii="Calibri" w:hAnsi="Calibri"/>
        </w:rPr>
        <w:t>Normas ISO 690:2010 (Sistema de Referencias Numéricas)</w:t>
        <w:br/>
      </w:r>
      <w:r>
        <w:rPr>
          <w:rFonts w:ascii="Calibri" w:hAnsi="Calibri"/>
          <w:b/>
          <w:sz w:val="22"/>
        </w:rPr>
        <w:t xml:space="preserve">Repositorio Oficial: </w:t>
      </w:r>
      <w:r>
        <w:rPr>
          <w:rFonts w:ascii="Calibri" w:hAnsi="Calibri"/>
        </w:rPr>
        <w:t>https://github.com/MFCC2/EstudiHambres (Ramas: develop / main)</w:t>
        <w:br/>
      </w:r>
    </w:p>
    <w:p>
      <w:r>
        <w:br w:type="page"/>
      </w:r>
    </w:p>
    <w:p>
      <w:pPr>
        <w:pStyle w:val="Heading1"/>
        <w:keepNext/>
        <w:spacing w:before="360" w:after="120"/>
      </w:pPr>
      <w:r>
        <w:rPr>
          <w:rFonts w:ascii="Calibri" w:hAnsi="Calibri"/>
          <w:b/>
          <w:color w:val="1A365D"/>
          <w:sz w:val="32"/>
        </w:rPr>
        <w:t>ÍNDICE DE CONTENIDOS</w:t>
      </w:r>
    </w:p>
    <w:tbl>
      <w:tblPr>
        <w:tblW w:type="auto" w:w="0"/>
        <w:jc w:val="center"/>
        <w:tblLayout w:type="fixed"/>
        <w:tblLook w:firstColumn="1" w:firstRow="1" w:lastColumn="0" w:lastRow="0" w:noHBand="0" w:noVBand="1" w:val="04A0"/>
      </w:tblPr>
      <w:tblGrid>
        <w:gridCol w:w="4680"/>
        <w:gridCol w:w="4680"/>
      </w:tblGrid>
      <w:tr>
        <w:tc>
          <w:tcPr>
            <w:tcW w:type="dxa" w:w="8352"/>
            <w:tcMar>
              <w:top w:w="40" w:type="dxa"/>
              <w:bottom w:w="40" w:type="dxa"/>
              <w:left w:w="40" w:type="dxa"/>
              <w:right w:w="40" w:type="dxa"/>
            </w:tcMar>
          </w:tcPr>
          <w:p>
            <w:pPr>
              <w:spacing w:before="40" w:after="40"/>
            </w:pPr>
            <w:r>
              <w:rPr>
                <w:rFonts w:ascii="Calibri" w:hAnsi="Calibri"/>
                <w:color w:val="1A365D"/>
                <w:sz w:val="21"/>
              </w:rPr>
              <w:t>1. Resumen Ejecutivo y Planteamiento del Problema</w:t>
            </w:r>
          </w:p>
        </w:tc>
        <w:tc>
          <w:tcPr>
            <w:tcW w:type="dxa" w:w="1008"/>
            <w:tcMar>
              <w:top w:w="40" w:type="dxa"/>
              <w:bottom w:w="40" w:type="dxa"/>
              <w:left w:w="40" w:type="dxa"/>
              <w:right w:w="40" w:type="dxa"/>
            </w:tcMar>
          </w:tcPr>
          <w:p>
            <w:pPr>
              <w:spacing w:before="40" w:after="40"/>
              <w:jc w:val="right"/>
            </w:pPr>
            <w:r>
              <w:rPr>
                <w:rFonts w:ascii="Calibri" w:hAnsi="Calibri"/>
                <w:color w:val="718096"/>
                <w:sz w:val="21"/>
              </w:rPr>
              <w:t>3</w:t>
            </w:r>
          </w:p>
        </w:tc>
      </w:tr>
      <w:tr>
        <w:tc>
          <w:tcPr>
            <w:tcW w:type="dxa" w:w="8352"/>
            <w:tcMar>
              <w:top w:w="40" w:type="dxa"/>
              <w:bottom w:w="40" w:type="dxa"/>
              <w:left w:w="40" w:type="dxa"/>
              <w:right w:w="40" w:type="dxa"/>
            </w:tcMar>
          </w:tcPr>
          <w:p>
            <w:pPr>
              <w:spacing w:before="40" w:after="40"/>
            </w:pPr>
            <w:r>
              <w:rPr>
                <w:rFonts w:ascii="Calibri" w:hAnsi="Calibri"/>
                <w:color w:val="1A365D"/>
                <w:sz w:val="21"/>
              </w:rPr>
              <w:t>2. Objetivos del Proyecto y Requerimientos de Calidad</w:t>
            </w:r>
          </w:p>
        </w:tc>
        <w:tc>
          <w:tcPr>
            <w:tcW w:type="dxa" w:w="1008"/>
            <w:tcMar>
              <w:top w:w="40" w:type="dxa"/>
              <w:bottom w:w="40" w:type="dxa"/>
              <w:left w:w="40" w:type="dxa"/>
              <w:right w:w="40" w:type="dxa"/>
            </w:tcMar>
          </w:tcPr>
          <w:p>
            <w:pPr>
              <w:spacing w:before="40" w:after="40"/>
              <w:jc w:val="right"/>
            </w:pPr>
            <w:r>
              <w:rPr>
                <w:rFonts w:ascii="Calibri" w:hAnsi="Calibri"/>
                <w:color w:val="718096"/>
                <w:sz w:val="21"/>
              </w:rPr>
              <w:t>4</w:t>
            </w:r>
          </w:p>
        </w:tc>
      </w:tr>
      <w:tr>
        <w:tc>
          <w:tcPr>
            <w:tcW w:type="dxa" w:w="8352"/>
            <w:tcMar>
              <w:top w:w="40" w:type="dxa"/>
              <w:bottom w:w="40" w:type="dxa"/>
              <w:left w:w="40" w:type="dxa"/>
              <w:right w:w="40" w:type="dxa"/>
            </w:tcMar>
          </w:tcPr>
          <w:p>
            <w:pPr>
              <w:spacing w:before="40" w:after="40"/>
            </w:pPr>
            <w:r>
              <w:rPr>
                <w:rFonts w:ascii="Calibri" w:hAnsi="Calibri"/>
                <w:color w:val="1A365D"/>
                <w:sz w:val="21"/>
              </w:rPr>
              <w:t>3. Flujo de Negocio y Modelo Operativo de Seguridad</w:t>
            </w:r>
          </w:p>
        </w:tc>
        <w:tc>
          <w:tcPr>
            <w:tcW w:type="dxa" w:w="1008"/>
            <w:tcMar>
              <w:top w:w="40" w:type="dxa"/>
              <w:bottom w:w="40" w:type="dxa"/>
              <w:left w:w="40" w:type="dxa"/>
              <w:right w:w="40" w:type="dxa"/>
            </w:tcMar>
          </w:tcPr>
          <w:p>
            <w:pPr>
              <w:spacing w:before="40" w:after="40"/>
              <w:jc w:val="right"/>
            </w:pPr>
            <w:r>
              <w:rPr>
                <w:rFonts w:ascii="Calibri" w:hAnsi="Calibri"/>
                <w:color w:val="718096"/>
                <w:sz w:val="21"/>
              </w:rPr>
              <w:t>5</w:t>
            </w:r>
          </w:p>
        </w:tc>
      </w:tr>
      <w:tr>
        <w:tc>
          <w:tcPr>
            <w:tcW w:type="dxa" w:w="8352"/>
            <w:tcMar>
              <w:top w:w="40" w:type="dxa"/>
              <w:bottom w:w="40" w:type="dxa"/>
              <w:left w:w="40" w:type="dxa"/>
              <w:right w:w="40" w:type="dxa"/>
            </w:tcMar>
          </w:tcPr>
          <w:p>
            <w:pPr>
              <w:spacing w:before="40" w:after="40"/>
            </w:pPr>
            <w:r>
              <w:rPr>
                <w:rFonts w:ascii="Calibri" w:hAnsi="Calibri"/>
                <w:color w:val="1A365D"/>
                <w:sz w:val="21"/>
              </w:rPr>
              <w:t>4. Arquitectura de Software, Patrones de Diseño y Seguridad</w:t>
            </w:r>
          </w:p>
        </w:tc>
        <w:tc>
          <w:tcPr>
            <w:tcW w:type="dxa" w:w="1008"/>
            <w:tcMar>
              <w:top w:w="40" w:type="dxa"/>
              <w:bottom w:w="40" w:type="dxa"/>
              <w:left w:w="40" w:type="dxa"/>
              <w:right w:w="40" w:type="dxa"/>
            </w:tcMar>
          </w:tcPr>
          <w:p>
            <w:pPr>
              <w:spacing w:before="40" w:after="40"/>
              <w:jc w:val="right"/>
            </w:pPr>
            <w:r>
              <w:rPr>
                <w:rFonts w:ascii="Calibri" w:hAnsi="Calibri"/>
                <w:color w:val="718096"/>
                <w:sz w:val="21"/>
              </w:rPr>
              <w:t>7</w:t>
            </w:r>
          </w:p>
        </w:tc>
      </w:tr>
      <w:tr>
        <w:tc>
          <w:tcPr>
            <w:tcW w:type="dxa" w:w="8352"/>
            <w:tcMar>
              <w:top w:w="40" w:type="dxa"/>
              <w:bottom w:w="40" w:type="dxa"/>
              <w:left w:w="40" w:type="dxa"/>
              <w:right w:w="40" w:type="dxa"/>
            </w:tcMar>
          </w:tcPr>
          <w:p>
            <w:pPr>
              <w:spacing w:before="40" w:after="40"/>
            </w:pPr>
            <w:r>
              <w:rPr>
                <w:rFonts w:ascii="Calibri" w:hAnsi="Calibri"/>
                <w:color w:val="1A365D"/>
                <w:sz w:val="21"/>
              </w:rPr>
              <w:t>5. Lenguaje de Programación y Paradigmas</w:t>
            </w:r>
          </w:p>
        </w:tc>
        <w:tc>
          <w:tcPr>
            <w:tcW w:type="dxa" w:w="1008"/>
            <w:tcMar>
              <w:top w:w="40" w:type="dxa"/>
              <w:bottom w:w="40" w:type="dxa"/>
              <w:left w:w="40" w:type="dxa"/>
              <w:right w:w="40" w:type="dxa"/>
            </w:tcMar>
          </w:tcPr>
          <w:p>
            <w:pPr>
              <w:spacing w:before="40" w:after="40"/>
              <w:jc w:val="right"/>
            </w:pPr>
            <w:r>
              <w:rPr>
                <w:rFonts w:ascii="Calibri" w:hAnsi="Calibri"/>
                <w:color w:val="718096"/>
                <w:sz w:val="21"/>
              </w:rPr>
              <w:t>9</w:t>
            </w:r>
          </w:p>
        </w:tc>
      </w:tr>
      <w:tr>
        <w:tc>
          <w:tcPr>
            <w:tcW w:type="dxa" w:w="8352"/>
            <w:tcMar>
              <w:top w:w="40" w:type="dxa"/>
              <w:bottom w:w="40" w:type="dxa"/>
              <w:left w:w="40" w:type="dxa"/>
              <w:right w:w="40" w:type="dxa"/>
            </w:tcMar>
          </w:tcPr>
          <w:p>
            <w:pPr>
              <w:spacing w:before="40" w:after="40"/>
            </w:pPr>
            <w:r>
              <w:rPr>
                <w:rFonts w:ascii="Calibri" w:hAnsi="Calibri"/>
                <w:color w:val="1A365D"/>
                <w:sz w:val="21"/>
              </w:rPr>
              <w:t>6. Librerías Destacadas y Frameworks</w:t>
            </w:r>
          </w:p>
        </w:tc>
        <w:tc>
          <w:tcPr>
            <w:tcW w:type="dxa" w:w="1008"/>
            <w:tcMar>
              <w:top w:w="40" w:type="dxa"/>
              <w:bottom w:w="40" w:type="dxa"/>
              <w:left w:w="40" w:type="dxa"/>
              <w:right w:w="40" w:type="dxa"/>
            </w:tcMar>
          </w:tcPr>
          <w:p>
            <w:pPr>
              <w:spacing w:before="40" w:after="40"/>
              <w:jc w:val="right"/>
            </w:pPr>
            <w:r>
              <w:rPr>
                <w:rFonts w:ascii="Calibri" w:hAnsi="Calibri"/>
                <w:color w:val="718096"/>
                <w:sz w:val="21"/>
              </w:rPr>
              <w:t>10</w:t>
            </w:r>
          </w:p>
        </w:tc>
      </w:tr>
      <w:tr>
        <w:tc>
          <w:tcPr>
            <w:tcW w:type="dxa" w:w="8352"/>
            <w:tcMar>
              <w:top w:w="40" w:type="dxa"/>
              <w:bottom w:w="40" w:type="dxa"/>
              <w:left w:w="40" w:type="dxa"/>
              <w:right w:w="40" w:type="dxa"/>
            </w:tcMar>
          </w:tcPr>
          <w:p>
            <w:pPr>
              <w:spacing w:before="40" w:after="40"/>
            </w:pPr>
            <w:r>
              <w:rPr>
                <w:rFonts w:ascii="Calibri" w:hAnsi="Calibri"/>
                <w:color w:val="1A365D"/>
                <w:sz w:val="21"/>
              </w:rPr>
              <w:t>7. Integración de APIs, Servicios y Protocolos de Navegación</w:t>
            </w:r>
          </w:p>
        </w:tc>
        <w:tc>
          <w:tcPr>
            <w:tcW w:type="dxa" w:w="1008"/>
            <w:tcMar>
              <w:top w:w="40" w:type="dxa"/>
              <w:bottom w:w="40" w:type="dxa"/>
              <w:left w:w="40" w:type="dxa"/>
              <w:right w:w="40" w:type="dxa"/>
            </w:tcMar>
          </w:tcPr>
          <w:p>
            <w:pPr>
              <w:spacing w:before="40" w:after="40"/>
              <w:jc w:val="right"/>
            </w:pPr>
            <w:r>
              <w:rPr>
                <w:rFonts w:ascii="Calibri" w:hAnsi="Calibri"/>
                <w:color w:val="718096"/>
                <w:sz w:val="21"/>
              </w:rPr>
              <w:t>12</w:t>
            </w:r>
          </w:p>
        </w:tc>
      </w:tr>
      <w:tr>
        <w:tc>
          <w:tcPr>
            <w:tcW w:type="dxa" w:w="8352"/>
            <w:tcMar>
              <w:top w:w="40" w:type="dxa"/>
              <w:bottom w:w="40" w:type="dxa"/>
              <w:left w:w="40" w:type="dxa"/>
              <w:right w:w="40" w:type="dxa"/>
            </w:tcMar>
          </w:tcPr>
          <w:p>
            <w:pPr>
              <w:spacing w:before="40" w:after="40"/>
            </w:pPr>
            <w:r>
              <w:rPr>
                <w:rFonts w:ascii="Calibri" w:hAnsi="Calibri"/>
                <w:color w:val="1A365D"/>
                <w:sz w:val="21"/>
              </w:rPr>
              <w:t>8. Módulos y Funcionalidades del Sistema (v1.2.2 Auditada)</w:t>
            </w:r>
          </w:p>
        </w:tc>
        <w:tc>
          <w:tcPr>
            <w:tcW w:type="dxa" w:w="1008"/>
            <w:tcMar>
              <w:top w:w="40" w:type="dxa"/>
              <w:bottom w:w="40" w:type="dxa"/>
              <w:left w:w="40" w:type="dxa"/>
              <w:right w:w="40" w:type="dxa"/>
            </w:tcMar>
          </w:tcPr>
          <w:p>
            <w:pPr>
              <w:spacing w:before="40" w:after="40"/>
              <w:jc w:val="right"/>
            </w:pPr>
            <w:r>
              <w:rPr>
                <w:rFonts w:ascii="Calibri" w:hAnsi="Calibri"/>
                <w:color w:val="718096"/>
                <w:sz w:val="21"/>
              </w:rPr>
              <w:t>14</w:t>
            </w:r>
          </w:p>
        </w:tc>
      </w:tr>
      <w:tr>
        <w:tc>
          <w:tcPr>
            <w:tcW w:type="dxa" w:w="8352"/>
            <w:tcMar>
              <w:top w:w="40" w:type="dxa"/>
              <w:bottom w:w="40" w:type="dxa"/>
              <w:left w:w="40" w:type="dxa"/>
              <w:right w:w="40" w:type="dxa"/>
            </w:tcMar>
          </w:tcPr>
          <w:p>
            <w:pPr>
              <w:spacing w:before="40" w:after="40"/>
            </w:pPr>
            <w:r>
              <w:rPr>
                <w:rFonts w:ascii="Calibri" w:hAnsi="Calibri"/>
                <w:color w:val="1A365D"/>
                <w:sz w:val="21"/>
              </w:rPr>
              <w:t>9. Informe de Auditoría Técnica y Aseguramiento de Calidad (QA - 94 Pruebas)</w:t>
            </w:r>
          </w:p>
        </w:tc>
        <w:tc>
          <w:tcPr>
            <w:tcW w:type="dxa" w:w="1008"/>
            <w:tcMar>
              <w:top w:w="40" w:type="dxa"/>
              <w:bottom w:w="40" w:type="dxa"/>
              <w:left w:w="40" w:type="dxa"/>
              <w:right w:w="40" w:type="dxa"/>
            </w:tcMar>
          </w:tcPr>
          <w:p>
            <w:pPr>
              <w:spacing w:before="40" w:after="40"/>
              <w:jc w:val="right"/>
            </w:pPr>
            <w:r>
              <w:rPr>
                <w:rFonts w:ascii="Calibri" w:hAnsi="Calibri"/>
                <w:color w:val="718096"/>
                <w:sz w:val="21"/>
              </w:rPr>
              <w:t>19</w:t>
            </w:r>
          </w:p>
        </w:tc>
      </w:tr>
      <w:tr>
        <w:tc>
          <w:tcPr>
            <w:tcW w:type="dxa" w:w="8352"/>
            <w:tcMar>
              <w:top w:w="40" w:type="dxa"/>
              <w:bottom w:w="40" w:type="dxa"/>
              <w:left w:w="40" w:type="dxa"/>
              <w:right w:w="40" w:type="dxa"/>
            </w:tcMar>
          </w:tcPr>
          <w:p>
            <w:pPr>
              <w:spacing w:before="40" w:after="40"/>
            </w:pPr>
            <w:r>
              <w:rPr>
                <w:rFonts w:ascii="Calibri" w:hAnsi="Calibri"/>
                <w:color w:val="1A365D"/>
                <w:sz w:val="21"/>
              </w:rPr>
              <w:t>10. Identidad de Marca, Accesibilidad y Capturas de Pantalla</w:t>
            </w:r>
          </w:p>
        </w:tc>
        <w:tc>
          <w:tcPr>
            <w:tcW w:type="dxa" w:w="1008"/>
            <w:tcMar>
              <w:top w:w="40" w:type="dxa"/>
              <w:bottom w:w="40" w:type="dxa"/>
              <w:left w:w="40" w:type="dxa"/>
              <w:right w:w="40" w:type="dxa"/>
            </w:tcMar>
          </w:tcPr>
          <w:p>
            <w:pPr>
              <w:spacing w:before="40" w:after="40"/>
              <w:jc w:val="right"/>
            </w:pPr>
            <w:r>
              <w:rPr>
                <w:rFonts w:ascii="Calibri" w:hAnsi="Calibri"/>
                <w:color w:val="718096"/>
                <w:sz w:val="21"/>
              </w:rPr>
              <w:t>22</w:t>
            </w:r>
          </w:p>
        </w:tc>
      </w:tr>
      <w:tr>
        <w:tc>
          <w:tcPr>
            <w:tcW w:type="dxa" w:w="8352"/>
            <w:tcMar>
              <w:top w:w="40" w:type="dxa"/>
              <w:bottom w:w="40" w:type="dxa"/>
              <w:left w:w="40" w:type="dxa"/>
              <w:right w:w="40" w:type="dxa"/>
            </w:tcMar>
          </w:tcPr>
          <w:p>
            <w:pPr>
              <w:spacing w:before="40" w:after="40"/>
            </w:pPr>
            <w:r>
              <w:rPr>
                <w:rFonts w:ascii="Calibri" w:hAnsi="Calibri"/>
                <w:color w:val="1A365D"/>
                <w:sz w:val="21"/>
              </w:rPr>
              <w:t>11. Conclusiones y Trabajo Futuro</w:t>
            </w:r>
          </w:p>
        </w:tc>
        <w:tc>
          <w:tcPr>
            <w:tcW w:type="dxa" w:w="1008"/>
            <w:tcMar>
              <w:top w:w="40" w:type="dxa"/>
              <w:bottom w:w="40" w:type="dxa"/>
              <w:left w:w="40" w:type="dxa"/>
              <w:right w:w="40" w:type="dxa"/>
            </w:tcMar>
          </w:tcPr>
          <w:p>
            <w:pPr>
              <w:spacing w:before="40" w:after="40"/>
              <w:jc w:val="right"/>
            </w:pPr>
            <w:r>
              <w:rPr>
                <w:rFonts w:ascii="Calibri" w:hAnsi="Calibri"/>
                <w:color w:val="718096"/>
                <w:sz w:val="21"/>
              </w:rPr>
              <w:t>24</w:t>
            </w:r>
          </w:p>
        </w:tc>
      </w:tr>
      <w:tr>
        <w:tc>
          <w:tcPr>
            <w:tcW w:type="dxa" w:w="8352"/>
            <w:tcMar>
              <w:top w:w="40" w:type="dxa"/>
              <w:bottom w:w="40" w:type="dxa"/>
              <w:left w:w="40" w:type="dxa"/>
              <w:right w:w="40" w:type="dxa"/>
            </w:tcMar>
          </w:tcPr>
          <w:p>
            <w:pPr>
              <w:spacing w:before="40" w:after="40"/>
            </w:pPr>
            <w:r>
              <w:rPr>
                <w:rFonts w:ascii="Calibri" w:hAnsi="Calibri"/>
                <w:color w:val="1A365D"/>
                <w:sz w:val="21"/>
              </w:rPr>
              <w:t>12. Referencias Bibliográficas (Norma ISO 690:2010)</w:t>
            </w:r>
          </w:p>
        </w:tc>
        <w:tc>
          <w:tcPr>
            <w:tcW w:type="dxa" w:w="1008"/>
            <w:tcMar>
              <w:top w:w="40" w:type="dxa"/>
              <w:bottom w:w="40" w:type="dxa"/>
              <w:left w:w="40" w:type="dxa"/>
              <w:right w:w="40" w:type="dxa"/>
            </w:tcMar>
          </w:tcPr>
          <w:p>
            <w:pPr>
              <w:spacing w:before="40" w:after="40"/>
              <w:jc w:val="right"/>
            </w:pPr>
            <w:r>
              <w:rPr>
                <w:rFonts w:ascii="Calibri" w:hAnsi="Calibri"/>
                <w:color w:val="718096"/>
                <w:sz w:val="21"/>
              </w:rPr>
              <w:t>25</w:t>
            </w:r>
          </w:p>
        </w:tc>
      </w:tr>
    </w:tbl>
    <w:p>
      <w:r>
        <w:br w:type="page"/>
      </w:r>
    </w:p>
    <w:p>
      <w:pPr>
        <w:pStyle w:val="Heading1"/>
        <w:keepNext/>
        <w:spacing w:before="360" w:after="120"/>
      </w:pPr>
      <w:r>
        <w:rPr>
          <w:rFonts w:ascii="Calibri" w:hAnsi="Calibri"/>
          <w:b/>
          <w:color w:val="1A365D"/>
          <w:sz w:val="32"/>
        </w:rPr>
        <w:t>1. RESUMEN EJECUTIVO Y PLANTEAMIENTO DEL PROBLEMA</w:t>
      </w:r>
    </w:p>
    <w:p>
      <w:pPr>
        <w:spacing w:before="0" w:after="120" w:line="276" w:lineRule="auto"/>
        <w:jc w:val="both"/>
      </w:pPr>
      <w:r>
        <w:rPr>
          <w:rFonts w:ascii="Calibri" w:hAnsi="Calibri"/>
          <w:color w:val="2D3748"/>
          <w:sz w:val="22"/>
        </w:rPr>
        <w:t>En el contexto de la educación universitaria en el Perú, los estudiantes enfrentan limitaciones económicas significativas vinculadas a los costos diarios de alimentación, transporte y herramientas académicas digitales. Si bien la Ley Universitaria Nº 30220 [1] consagra beneficios legales como el medio pasaje en el transporte público mediante la emisión del carnet universitario oficial expedido por la Superintendencia Nacional de Educación Superior Universitaria (SUNEDU) [2], existe una fragmentación sustancial en el acceso a convenios comerciales privados, descuentos gastronómicos y licencias de software formativo.</w:t>
      </w:r>
    </w:p>
    <w:p>
      <w:pPr>
        <w:spacing w:before="0" w:after="120" w:line="276" w:lineRule="auto"/>
        <w:jc w:val="both"/>
      </w:pPr>
      <w:r>
        <w:rPr>
          <w:rFonts w:ascii="Calibri" w:hAnsi="Calibri"/>
          <w:color w:val="2D3748"/>
          <w:sz w:val="22"/>
        </w:rPr>
        <w:t>La problemática actual radica en tres factores críticos: primero, la ausencia de una plataforma centralizada que agrupe de forma georreferenciada los establecimientos aliados cercanos a los recintos universitarios; segundo, la dificultad de los comercios para validar ágilmente la condición de estudiante activo sin requerir procesos burocráticos en físico; y tercero, la falta de difusión estructurada de los beneficios digitales globales (tales como GitHub Student Developer Pack, Spotify Student o Notion for Education) que los estudiantes frecuentemente desconocen.</w:t>
      </w:r>
    </w:p>
    <w:p>
      <w:pPr>
        <w:spacing w:before="0" w:after="120" w:line="276" w:lineRule="auto"/>
        <w:jc w:val="both"/>
      </w:pPr>
      <w:r>
        <w:rPr>
          <w:rFonts w:ascii="Calibri" w:hAnsi="Calibri"/>
          <w:color w:val="2D3748"/>
          <w:sz w:val="22"/>
        </w:rPr>
        <w:t>Para responder a esta necesidad, nace EstudiHambres (CampusPass), una aplicación móvil nativa para el ecosistema Android diseñada bajo los principios de Clean Architecture y Jetpack Compose [3]. La versión 1.2.2 culmina una fase exhaustiva de auditoría técnica y blindaje arquitectónico. Esta versión integra: autenticación rigurosa de cuentas universitarias (.edu.pe), motor inteligente de visión artificial con estabilización multi-frame y filtro anti-recibos (Google ML Kit y CameraX) [4, 5], inmutabilidad estricta de identidad institucional (DNI y Universidad no editables post-verificación), almacenamiento aislado (sandboxing) de fotos de perfil, radar geográfico esférico de 30 km basado en la fórmula matemática del Haversine [6] con 9 locales reales en Cusco y Lima, navegación turn-by-turn protegida contra excepciones de intent [7], y una cobertura de 94 pruebas unitarias aprobadas al 100%.</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40" w:line="276" w:lineRule="auto"/>
            </w:pPr>
            <w:r>
              <w:rPr>
                <w:rFonts w:ascii="Calibri" w:hAnsi="Calibri"/>
                <w:b/>
                <w:color w:val="1A365D"/>
                <w:sz w:val="20"/>
              </w:rPr>
              <w:t xml:space="preserve">📌 CERTIFICACIÓN AUDITADA v1.2.2: </w:t>
            </w:r>
            <w:r>
              <w:rPr>
                <w:rFonts w:ascii="Calibri" w:hAnsi="Calibri"/>
                <w:color w:val="2D3748"/>
                <w:sz w:val="20"/>
              </w:rPr>
              <w:t>La versión 1.2.2 consolida la resolución total de 6 hallazgos críticos de auditoría: blindaje de DNI y Universidad inmutables, avatar de perfil sandboxed con selector de galería nativo, OCR estabilizado con rechazo fehaciente de recibos, regla de carnet único por estudiante vs. modo desarrollador, navegación protegida en Google Maps y 94 pruebas QA superadas exitosamente.</w:t>
            </w:r>
          </w:p>
        </w:tc>
      </w:tr>
    </w:tbl>
    <w:p>
      <w:pPr>
        <w:spacing w:before="0" w:after="80"/>
      </w:pPr>
    </w:p>
    <w:p>
      <w:pPr>
        <w:pStyle w:val="Heading1"/>
        <w:keepNext/>
        <w:spacing w:before="360" w:after="120"/>
      </w:pPr>
      <w:r>
        <w:rPr>
          <w:rFonts w:ascii="Calibri" w:hAnsi="Calibri"/>
          <w:b/>
          <w:color w:val="1A365D"/>
          <w:sz w:val="32"/>
        </w:rPr>
        <w:t>2. OBJETIVOS DEL PROYECTO Y REQUERIMIENTOS DE CALIDAD</w:t>
      </w:r>
    </w:p>
    <w:p>
      <w:pPr>
        <w:pStyle w:val="Heading2"/>
        <w:keepNext/>
        <w:spacing w:before="280" w:after="80"/>
      </w:pPr>
      <w:r>
        <w:rPr>
          <w:rFonts w:ascii="Calibri" w:hAnsi="Calibri"/>
          <w:b/>
          <w:color w:val="2B6CB0"/>
          <w:sz w:val="26"/>
        </w:rPr>
        <w:t>2.1 Objetivo General</w:t>
      </w:r>
    </w:p>
    <w:p>
      <w:pPr>
        <w:spacing w:before="0" w:after="120" w:line="276" w:lineRule="auto"/>
        <w:jc w:val="both"/>
      </w:pPr>
      <w:r>
        <w:rPr>
          <w:rFonts w:ascii="Calibri" w:hAnsi="Calibri"/>
          <w:color w:val="2D3748"/>
          <w:sz w:val="22"/>
        </w:rPr>
        <w:t>Desarrollar, auditar y certificar una aplicación móvil nativa en plataforma Android (versión 1.2.2) que democratice, centralice y agilice el acceso a promociones gastronómicas, servicios de transporte y herramientas digitales educativas para estudiantes universitarios peruanos, garantizando validación fehaciente mediante procesamiento óptico estabilizado de carnets, protección estricta de identidad ante fraudes y geolocalización espacial de comercios reales con navegación segura.</w:t>
      </w:r>
    </w:p>
    <w:p>
      <w:pPr>
        <w:pStyle w:val="Heading2"/>
        <w:keepNext/>
        <w:spacing w:before="280" w:after="80"/>
      </w:pPr>
      <w:r>
        <w:rPr>
          <w:rFonts w:ascii="Calibri" w:hAnsi="Calibri"/>
          <w:b/>
          <w:color w:val="2B6CB0"/>
          <w:sz w:val="26"/>
        </w:rPr>
        <w:t>2.2 Objetivos Específicos y Criterios de Calidad</w:t>
      </w:r>
    </w:p>
    <w:p>
      <w:pPr>
        <w:pStyle w:val="ListBullet"/>
        <w:spacing w:before="0" w:after="80" w:line="276" w:lineRule="auto"/>
        <w:jc w:val="both"/>
      </w:pPr>
      <w:r>
        <w:rPr>
          <w:rFonts w:ascii="Calibri" w:hAnsi="Calibri"/>
          <w:color w:val="2D3748"/>
          <w:sz w:val="22"/>
        </w:rPr>
        <w:t>Implementar un flujo de autenticación seguro que valide credenciales académicas, correos institucionales (.edu.pe) y contraseñas cifradas, evitando ingresos indebidos por credenciales erróneas o nulas.</w:t>
      </w:r>
    </w:p>
    <w:p>
      <w:pPr>
        <w:pStyle w:val="ListBullet"/>
        <w:spacing w:before="0" w:after="80" w:line="276" w:lineRule="auto"/>
        <w:jc w:val="both"/>
      </w:pPr>
      <w:r>
        <w:rPr>
          <w:rFonts w:ascii="Calibri" w:hAnsi="Calibri"/>
          <w:color w:val="2D3748"/>
          <w:sz w:val="22"/>
        </w:rPr>
        <w:t>Integrar un subsistema embebido de visión artificial (CameraX y Google ML Kit OCR) dotado de estabilización temporal multi-frame para escanear y validar el carnet oficial SUNEDU, rechazando categóricamente comprobantes de pago o documentos no universitarios.</w:t>
      </w:r>
    </w:p>
    <w:p>
      <w:pPr>
        <w:pStyle w:val="ListBullet"/>
        <w:spacing w:before="0" w:after="80" w:line="276" w:lineRule="auto"/>
        <w:jc w:val="both"/>
      </w:pPr>
      <w:r>
        <w:rPr>
          <w:rFonts w:ascii="Calibri" w:hAnsi="Calibri"/>
          <w:color w:val="2D3748"/>
          <w:sz w:val="22"/>
        </w:rPr>
        <w:t>Garantizar la inmutabilidad de los datos de identidad estudiantil (DNI y Universidad), impidiendo su edición manual una vez registrados y auditados ante SUNEDU.</w:t>
      </w:r>
    </w:p>
    <w:p>
      <w:pPr>
        <w:pStyle w:val="ListBullet"/>
        <w:spacing w:before="0" w:after="80" w:line="276" w:lineRule="auto"/>
        <w:jc w:val="both"/>
      </w:pPr>
      <w:r>
        <w:rPr>
          <w:rFonts w:ascii="Calibri" w:hAnsi="Calibri"/>
          <w:color w:val="2D3748"/>
          <w:sz w:val="22"/>
        </w:rPr>
        <w:t>Proveer un mecanismo seguro de personalización de avatar de perfil con selector nativo de galería, aislando las imágenes en el almacenamiento interno privado de la aplicación para prevenir vulnerabilidades de path traversal.</w:t>
      </w:r>
    </w:p>
    <w:p>
      <w:pPr>
        <w:pStyle w:val="ListBullet"/>
        <w:spacing w:before="0" w:after="80" w:line="276" w:lineRule="auto"/>
        <w:jc w:val="both"/>
      </w:pPr>
      <w:r>
        <w:rPr>
          <w:rFonts w:ascii="Calibri" w:hAnsi="Calibri"/>
          <w:color w:val="2D3748"/>
          <w:sz w:val="22"/>
        </w:rPr>
        <w:t>Construir un tablero principal (HomeScreen) con diseño moderno Material 3 que exhiba métricas de ahorro acumulado, carruseles horizontales de ofertas destacadas, beneficios de proximidad y software tecnológico educativo.</w:t>
      </w:r>
    </w:p>
    <w:p>
      <w:pPr>
        <w:pStyle w:val="ListBullet"/>
        <w:spacing w:before="0" w:after="80" w:line="276" w:lineRule="auto"/>
        <w:jc w:val="both"/>
      </w:pPr>
      <w:r>
        <w:rPr>
          <w:rFonts w:ascii="Calibri" w:hAnsi="Calibri"/>
          <w:color w:val="2D3748"/>
          <w:sz w:val="22"/>
        </w:rPr>
        <w:t>Desarrollar un radar de convenios geolocalizado a 30 km con Google Maps Compose, incorporando 9 establecimientos reales en Cusco y Lima, e integrando navegación turn-by-turn con fallback web blindado contra ActivityNotFoundException.</w:t>
      </w:r>
    </w:p>
    <w:p>
      <w:pPr>
        <w:pStyle w:val="ListBullet"/>
        <w:spacing w:before="0" w:after="80" w:line="276" w:lineRule="auto"/>
        <w:jc w:val="both"/>
      </w:pPr>
      <w:r>
        <w:rPr>
          <w:rFonts w:ascii="Calibri" w:hAnsi="Calibri"/>
          <w:color w:val="2D3748"/>
          <w:sz w:val="22"/>
        </w:rPr>
        <w:t>Ejecutar un marco riguroso de aseguramiento de calidad (QA) compuesto por 94 casos de prueba unitaria automatizados con 0 advertencias y 100% de aprobación.</w:t>
      </w:r>
    </w:p>
    <w:p>
      <w:pPr>
        <w:pStyle w:val="Heading1"/>
        <w:keepNext/>
        <w:spacing w:before="360" w:after="120"/>
      </w:pPr>
      <w:r>
        <w:rPr>
          <w:rFonts w:ascii="Calibri" w:hAnsi="Calibri"/>
          <w:b/>
          <w:color w:val="1A365D"/>
          <w:sz w:val="32"/>
        </w:rPr>
        <w:t>3. FLUJO DE NEGOCIO Y MODELO OPERATIVO DE SEGURIDAD</w:t>
      </w:r>
    </w:p>
    <w:p>
      <w:pPr>
        <w:spacing w:before="0" w:after="120" w:line="276" w:lineRule="auto"/>
        <w:jc w:val="both"/>
      </w:pPr>
      <w:r>
        <w:rPr>
          <w:rFonts w:ascii="Calibri" w:hAnsi="Calibri"/>
          <w:color w:val="2D3748"/>
          <w:sz w:val="22"/>
        </w:rPr>
        <w:t>El modelo operativo de EstudiHambres rige la interacción segura entre el estudiante universitario, los comercios aliados y los proveedores tecnológicos globales. El ciclo de vida del sistema comprende seis fases operativas auditadas:</w:t>
      </w:r>
    </w:p>
    <w:p>
      <w:pPr>
        <w:pStyle w:val="Heading2"/>
        <w:keepNext/>
        <w:spacing w:before="280" w:after="80"/>
      </w:pPr>
      <w:r>
        <w:rPr>
          <w:rFonts w:ascii="Calibri" w:hAnsi="Calibri"/>
          <w:b/>
          <w:color w:val="2B6CB0"/>
          <w:sz w:val="26"/>
        </w:rPr>
        <w:t>Fase 1: Onboarding y Autenticación Rigurosa</w:t>
      </w:r>
    </w:p>
    <w:p>
      <w:pPr>
        <w:spacing w:before="0" w:after="120" w:line="276" w:lineRule="auto"/>
        <w:jc w:val="both"/>
      </w:pPr>
      <w:r>
        <w:rPr>
          <w:rFonts w:ascii="Calibri" w:hAnsi="Calibri"/>
          <w:color w:val="2D3748"/>
          <w:sz w:val="22"/>
        </w:rPr>
        <w:t>El estudiante accede a RegisterScreen o LoginScreen. En el registro ingresa su DNI (8 dígitos numéricos exactos), correo institucional (.edu.pe) y selecciona su casa de estudios mediante un ExposedDropdownMenuBox con sugerencias en tiempo real (Universidad Continental, PUCP, UNMSM, UNI, UPC, UTEC, UNSAAC, etc.) [8]. La autenticación audita la correspondencia de credenciales; no se permite el paso de contraseñas incorrectas o nulas. Se mantiene un botón 'Acceso Directo (Bypass Dev)' con identificación explícita de perfil de desarrollador para fines de evaluación académica.</w:t>
      </w:r>
    </w:p>
    <w:p>
      <w:pPr>
        <w:pStyle w:val="Heading2"/>
        <w:keepNext/>
        <w:spacing w:before="280" w:after="80"/>
      </w:pPr>
      <w:r>
        <w:rPr>
          <w:rFonts w:ascii="Calibri" w:hAnsi="Calibri"/>
          <w:b/>
          <w:color w:val="2B6CB0"/>
          <w:sz w:val="26"/>
        </w:rPr>
        <w:t>Fase 2: Verificación de Carnet Inteligente con Estabilización Multi-Frame</w:t>
      </w:r>
    </w:p>
    <w:p>
      <w:pPr>
        <w:spacing w:before="0" w:after="120" w:line="276" w:lineRule="auto"/>
        <w:jc w:val="both"/>
      </w:pPr>
      <w:r>
        <w:rPr>
          <w:rFonts w:ascii="Calibri" w:hAnsi="Calibri"/>
          <w:color w:val="2D3748"/>
          <w:sz w:val="22"/>
        </w:rPr>
        <w:t>En StudentVerificationScreen, CameraX despliega el visor delimitador CardScannerOverlay en formato estándar ID-1 (85.60 mm x 53.98 mm) [9]. Para evitar falsos positivos provocados por tickets de caja o recibos, el motor OCR aplica un algoritmo heurístico de estabilización: se analiza el flujo continuo de fotogramas, exigiendo la detección inequívoca de palabras clave obligatorias ('SUNEDU', 'REPÚBLICA DEL PERÚ', 'UNIVERSIDAD') y el rango de vigencia oficial (2025–2027). Solo cuando se confirma la estabilidad temporal se aprueba el carnet. Asimismo, se aplica la regla de carnet único: un estudiante solo puede validar un carnet en su cuenta, mientras que el rol desarrollador conserva la facultad de re-escanear múltiples muestras para pruebas de QA.</w:t>
      </w:r>
    </w:p>
    <w:p>
      <w:pPr>
        <w:pStyle w:val="Heading2"/>
        <w:keepNext/>
        <w:spacing w:before="280" w:after="80"/>
      </w:pPr>
      <w:r>
        <w:rPr>
          <w:rFonts w:ascii="Calibri" w:hAnsi="Calibri"/>
          <w:b/>
          <w:color w:val="2B6CB0"/>
          <w:sz w:val="26"/>
        </w:rPr>
        <w:t>Fase 3: Dashboard de Ahorro y Catálogo por Carruseles</w:t>
      </w:r>
    </w:p>
    <w:p>
      <w:pPr>
        <w:spacing w:before="0" w:after="120" w:line="276" w:lineRule="auto"/>
        <w:jc w:val="both"/>
      </w:pPr>
      <w:r>
        <w:rPr>
          <w:rFonts w:ascii="Calibri" w:hAnsi="Calibri"/>
          <w:color w:val="2D3748"/>
          <w:sz w:val="22"/>
        </w:rPr>
        <w:t>En HomeScreen, el estudiante visualiza su saludo personalizado, el estado de verificación y el widget de 'Ahorro Acumulado' (e.g., S/ 142.50). El feed se divide en carruseles especializados (LazyRow):</w:t>
      </w:r>
    </w:p>
    <w:p>
      <w:pPr>
        <w:pStyle w:val="ListBullet"/>
        <w:spacing w:before="0" w:after="80" w:line="276" w:lineRule="auto"/>
        <w:jc w:val="both"/>
      </w:pPr>
      <w:r>
        <w:rPr>
          <w:rFonts w:ascii="Calibri" w:hAnsi="Calibri"/>
          <w:color w:val="2D3748"/>
          <w:sz w:val="22"/>
        </w:rPr>
        <w:t>Para ti (Más Populares): Convenios destacados de consumo masivo (Bembos 2x1, Spotify Student, Starbucks).</w:t>
      </w:r>
    </w:p>
    <w:p>
      <w:pPr>
        <w:pStyle w:val="ListBullet"/>
        <w:spacing w:before="0" w:after="80" w:line="276" w:lineRule="auto"/>
        <w:jc w:val="both"/>
      </w:pPr>
      <w:r>
        <w:rPr>
          <w:rFonts w:ascii="Calibri" w:hAnsi="Calibri"/>
          <w:color w:val="2D3748"/>
          <w:sz w:val="22"/>
        </w:rPr>
        <w:t>Cerca de tu campus: Establecimientos gastronómicos geolocalizados con distancia en metros y tiempo de caminata estimado.</w:t>
      </w:r>
    </w:p>
    <w:p>
      <w:pPr>
        <w:pStyle w:val="ListBullet"/>
        <w:spacing w:before="0" w:after="80" w:line="276" w:lineRule="auto"/>
        <w:jc w:val="both"/>
      </w:pPr>
      <w:r>
        <w:rPr>
          <w:rFonts w:ascii="Calibri" w:hAnsi="Calibri"/>
          <w:color w:val="2D3748"/>
          <w:sz w:val="22"/>
        </w:rPr>
        <w:t>Beneficios Virtuales &amp; Tech: Software educativo (Notion Education Plus, GitHub Student Developer Pack, Figma for Education) con licencia 100% gratuita.</w:t>
      </w:r>
    </w:p>
    <w:p>
      <w:pPr>
        <w:pStyle w:val="Heading2"/>
        <w:keepNext/>
        <w:spacing w:before="280" w:after="80"/>
      </w:pPr>
      <w:r>
        <w:rPr>
          <w:rFonts w:ascii="Calibri" w:hAnsi="Calibri"/>
          <w:b/>
          <w:color w:val="2B6CB0"/>
          <w:sz w:val="26"/>
        </w:rPr>
        <w:t>Fase 4: Radar Geográfico y Navegación Turn-by-Turn</w:t>
      </w:r>
    </w:p>
    <w:p>
      <w:pPr>
        <w:spacing w:before="0" w:after="120" w:line="276" w:lineRule="auto"/>
        <w:jc w:val="both"/>
      </w:pPr>
      <w:r>
        <w:rPr>
          <w:rFonts w:ascii="Calibri" w:hAnsi="Calibri"/>
          <w:color w:val="2D3748"/>
          <w:sz w:val="22"/>
        </w:rPr>
        <w:t>A través de MapScreen, el radar geográfico utiliza la fórmula matemática de Haversine [6] para calcular distancias esféricas sobre 9 puntos comerciales auténticos (Bembos Real Plaza, Starbucks Av. de la Cultura, Chomba Cusco, Cicciolina, etc.). Al pulsar 'Cómo llegar', la app dispara un Intent de navegación turn-by-turn ('google.navigation:q=lat,lng') y, en caso de ausencia de Google Maps en el terminal, conmuta de forma transparente al navegador web con 'https://www.google.com/maps/dir/?api=1&amp;destination=', evitando crashes inesperados [7].</w:t>
      </w:r>
    </w:p>
    <w:p>
      <w:pPr>
        <w:pStyle w:val="Heading2"/>
        <w:keepNext/>
        <w:spacing w:before="280" w:after="80"/>
      </w:pPr>
      <w:r>
        <w:rPr>
          <w:rFonts w:ascii="Calibri" w:hAnsi="Calibri"/>
          <w:b/>
          <w:color w:val="2B6CB0"/>
          <w:sz w:val="26"/>
        </w:rPr>
        <w:t>Fase 5: Redirección Oficial a Portales Aliados</w:t>
      </w:r>
    </w:p>
    <w:p>
      <w:pPr>
        <w:spacing w:before="0" w:after="120" w:line="276" w:lineRule="auto"/>
        <w:jc w:val="both"/>
      </w:pPr>
      <w:r>
        <w:rPr>
          <w:rFonts w:ascii="Calibri" w:hAnsi="Calibri"/>
          <w:color w:val="2D3748"/>
          <w:sz w:val="22"/>
        </w:rPr>
        <w:t>Al seleccionar un beneficio digital o comercial, el estudiante puede pulsar 'Activar beneficio' o 'Ir al beneficio'. La aplicación dispara un Intent implícito de Android (Intent.ACTION_VIEW con Uri seguro https://) que abre el navegador nativo en las URLs oficiales (spotify.com/pe-es/student/, notion.so/product/notion-for-education, education.github.com/pack) evitando intermediarios inseguros [7].</w:t>
      </w:r>
    </w:p>
    <w:p>
      <w:pPr>
        <w:pStyle w:val="Heading2"/>
        <w:keepNext/>
        <w:spacing w:before="280" w:after="80"/>
      </w:pPr>
      <w:r>
        <w:rPr>
          <w:rFonts w:ascii="Calibri" w:hAnsi="Calibri"/>
          <w:b/>
          <w:color w:val="2B6CB0"/>
          <w:sz w:val="26"/>
        </w:rPr>
        <w:t>Fase 6: Configuración del Perfil con Blindaje de Identidad y Foto Personalizada</w:t>
      </w:r>
    </w:p>
    <w:p>
      <w:pPr>
        <w:spacing w:before="0" w:after="120" w:line="276" w:lineRule="auto"/>
        <w:jc w:val="both"/>
      </w:pPr>
      <w:r>
        <w:rPr>
          <w:rFonts w:ascii="Calibri" w:hAnsi="Calibri"/>
          <w:color w:val="2D3748"/>
          <w:sz w:val="22"/>
        </w:rPr>
        <w:t>En ProfileScreen, el usuario gestiona sus datos. En cumplimiento de los hallazgos de auditoría, los campos DNI y Universidad están estrictamente bloqueados como de solo lectura con indicación visual de candado. El usuario puede cambiar su foto de perfil desde la galería del dispositivo; la imagen seleccionada se copia al sandbox interno privado de la aplicación, actualizándose instantáneamente en todos los componentes visuales del sistema.</w:t>
      </w:r>
    </w:p>
    <w:p>
      <w:pPr>
        <w:pStyle w:val="Heading1"/>
        <w:keepNext/>
        <w:spacing w:before="360" w:after="120"/>
      </w:pPr>
      <w:r>
        <w:rPr>
          <w:rFonts w:ascii="Calibri" w:hAnsi="Calibri"/>
          <w:b/>
          <w:color w:val="1A365D"/>
          <w:sz w:val="32"/>
        </w:rPr>
        <w:t>4. ARQUITECTURA DE SOFTWARE, PATRONES DE DISEÑO Y SEGURIDAD</w:t>
      </w:r>
    </w:p>
    <w:p>
      <w:pPr>
        <w:spacing w:before="0" w:after="120" w:line="276" w:lineRule="auto"/>
        <w:jc w:val="both"/>
      </w:pPr>
      <w:r>
        <w:rPr>
          <w:rFonts w:ascii="Calibri" w:hAnsi="Calibri"/>
          <w:color w:val="2D3748"/>
          <w:sz w:val="22"/>
        </w:rPr>
        <w:t>EstudiHambres implementa Clean Architecture según las directrices promovidas por Robert C. Martin [10] y las recomendaciones oficiales para el desarrollo moderno en Android emitidas por Google [3]. El código se organiza en cuatro capas claramente desacopladas:</w:t>
      </w:r>
    </w:p>
    <w:tbl>
      <w:tblPr>
        <w:tblW w:type="auto" w:w="0"/>
        <w:jc w:val="center"/>
        <w:tblLook w:firstColumn="1" w:firstRow="1" w:lastColumn="0" w:lastRow="0" w:noHBand="0" w:noVBand="1" w:val="04A0"/>
      </w:tblPr>
      <w:tblGrid>
        <w:gridCol w:w="3120"/>
        <w:gridCol w:w="3120"/>
        <w:gridCol w:w="3120"/>
      </w:tblGrid>
      <w:tr>
        <w:trPr>
          <w:cantSplit/>
        </w:trPr>
        <w:tc>
          <w:tcPr>
            <w:tcW w:type="dxa" w:w="3120"/>
            <w:vAlign w:val="center"/>
            <w:tcMar>
              <w:top w:w="100" w:type="dxa"/>
              <w:bottom w:w="100" w:type="dxa"/>
              <w:left w:w="140" w:type="dxa"/>
              <w:right w:w="140" w:type="dxa"/>
            </w:tcMar>
            <w:shd w:fill="1A365D"/>
          </w:tcPr>
          <w:p>
            <w:pPr>
              <w:spacing w:before="40" w:after="40"/>
            </w:pPr>
            <w:r>
              <w:rPr>
                <w:rFonts w:ascii="Calibri" w:hAnsi="Calibri"/>
                <w:b/>
                <w:color w:val="FFFFFF"/>
                <w:sz w:val="20"/>
              </w:rPr>
              <w:t>Capa Arquitectónica</w:t>
            </w:r>
          </w:p>
        </w:tc>
        <w:tc>
          <w:tcPr>
            <w:tcW w:type="dxa" w:w="3120"/>
            <w:vAlign w:val="center"/>
            <w:tcMar>
              <w:top w:w="100" w:type="dxa"/>
              <w:bottom w:w="100" w:type="dxa"/>
              <w:left w:w="140" w:type="dxa"/>
              <w:right w:w="140" w:type="dxa"/>
            </w:tcMar>
            <w:shd w:fill="1A365D"/>
          </w:tcPr>
          <w:p>
            <w:pPr>
              <w:spacing w:before="40" w:after="40"/>
            </w:pPr>
            <w:r>
              <w:rPr>
                <w:rFonts w:ascii="Calibri" w:hAnsi="Calibri"/>
                <w:b/>
                <w:color w:val="FFFFFF"/>
                <w:sz w:val="20"/>
              </w:rPr>
              <w:t>Paquete Java/Kotlin</w:t>
            </w:r>
          </w:p>
        </w:tc>
        <w:tc>
          <w:tcPr>
            <w:tcW w:type="dxa" w:w="3120"/>
            <w:vAlign w:val="center"/>
            <w:tcMar>
              <w:top w:w="100" w:type="dxa"/>
              <w:bottom w:w="100" w:type="dxa"/>
              <w:left w:w="140" w:type="dxa"/>
              <w:right w:w="140" w:type="dxa"/>
            </w:tcMar>
            <w:shd w:fill="1A365D"/>
          </w:tcPr>
          <w:p>
            <w:pPr>
              <w:spacing w:before="40" w:after="40"/>
            </w:pPr>
            <w:r>
              <w:rPr>
                <w:rFonts w:ascii="Calibri" w:hAnsi="Calibri"/>
                <w:b/>
                <w:color w:val="FFFFFF"/>
                <w:sz w:val="20"/>
              </w:rPr>
              <w:t>Responsabilidad y Componentes Clave</w:t>
            </w:r>
          </w:p>
        </w:tc>
      </w:tr>
      <w:tr>
        <w:trPr>
          <w:cantSplit/>
        </w:trPr>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Core</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com.example.estudihambres.core</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Fundamentos transversales: sistema de navegación declarativa (AppNavGraph, Screen), diseño visual y paleta temática (Theme, Color, Type, Shape), utilidades de sesión (SessionManager) y constantes globales (Constants).</w:t>
            </w:r>
          </w:p>
        </w:tc>
      </w:tr>
      <w:tr>
        <w:trPr>
          <w:cantSplit/>
        </w:trPr>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Domain</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com.example.estudihambres.domain</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Corazón del negocio independiente de frameworks de UI: entidades de dominio (StudentUser, Place, Promotion, StudentCardOcrResult), contratos de repositorio e interfaces de casos de uso (FilterPlacesByDistanceUseCase, ParseStudentCardOcrUseCase, ValidateStudentCredentialsUseCase).</w:t>
            </w:r>
          </w:p>
        </w:tc>
      </w:tr>
      <w:tr>
        <w:trPr>
          <w:cantSplit/>
        </w:trPr>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Data</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com.example.estudihambres.data</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Manejo y persistencia de fuentes de información: repositorios concretos (MockPlaceRepository con 9 locales reales, MockPromotionRepositoryImpl, PlayServicesLocationRepositoryImpl) y modelos locales de datos.</w:t>
            </w:r>
          </w:p>
        </w:tc>
      </w:tr>
      <w:tr>
        <w:trPr>
          <w:cantSplit/>
        </w:trPr>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Presentation</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com.example.estudihambres.presentation</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Capa de presentación reactiva con Jetpack Compose y ViewModels (AuthViewModel, HomeViewModel, MapViewModel, ProfileViewModel, StudentVerificationViewModel).</w:t>
            </w:r>
          </w:p>
        </w:tc>
      </w:tr>
    </w:tbl>
    <w:p>
      <w:pPr>
        <w:pStyle w:val="Heading2"/>
        <w:keepNext/>
        <w:spacing w:before="280" w:after="80"/>
      </w:pPr>
      <w:r>
        <w:rPr>
          <w:rFonts w:ascii="Calibri" w:hAnsi="Calibri"/>
          <w:b/>
          <w:color w:val="2B6CB0"/>
          <w:sz w:val="26"/>
        </w:rPr>
        <w:t>4.1 Patrón MVI/MVVM con Flujo Unidireccional de Datos (UDF)</w:t>
      </w:r>
    </w:p>
    <w:p>
      <w:pPr>
        <w:spacing w:before="0" w:after="120" w:line="276" w:lineRule="auto"/>
        <w:jc w:val="both"/>
      </w:pPr>
      <w:r>
        <w:rPr>
          <w:rFonts w:ascii="Calibri" w:hAnsi="Calibri"/>
          <w:color w:val="2D3748"/>
          <w:sz w:val="22"/>
        </w:rPr>
        <w:t>Cada pantalla Compose observa un estado inmutable modelado mediante StateFlow o MutableStateFlow [11]. Los eventos de usuario (taps, inputs, clics en filtros) se transmiten en sentido ascendente hacia el ViewModel a través de funciones lambda, mientras que las mutaciones de estado descienden hacia los componentes composables, eliminando efectos secundarios impredecibles y facilitando la realización de pruebas unitarias automatizadas.</w:t>
      </w:r>
    </w:p>
    <w:p>
      <w:pPr>
        <w:pStyle w:val="Heading2"/>
        <w:keepNext/>
        <w:spacing w:before="280" w:after="80"/>
      </w:pPr>
      <w:r>
        <w:rPr>
          <w:rFonts w:ascii="Calibri" w:hAnsi="Calibri"/>
          <w:b/>
          <w:color w:val="2B6CB0"/>
          <w:sz w:val="26"/>
        </w:rPr>
        <w:t>4.2 Arquitectura de Seguridad y Sandboxing de Archivos</w:t>
      </w:r>
    </w:p>
    <w:p>
      <w:pPr>
        <w:spacing w:before="0" w:after="120" w:line="276" w:lineRule="auto"/>
        <w:jc w:val="both"/>
      </w:pPr>
      <w:r>
        <w:rPr>
          <w:rFonts w:ascii="Calibri" w:hAnsi="Calibri"/>
          <w:color w:val="2D3748"/>
          <w:sz w:val="22"/>
        </w:rPr>
        <w:t>Para garantizar la privacidad y seguridad del usuario, los recursos multimedia de la foto de perfil no se leen de URIs directos que podrían revocarse o exponer rutas externas. Al seleccionar una imagen mediante ActivityResultContracts.GetContent(), se genera un archivo aislado en el directorio interno seguro: context.filesDir/avatar_&lt;email_hash&gt;.jpg. El SessionManager persiste únicamente la ruta canónica local, blindando la aplicación contra inyecciones y accesos no autorizados.</w:t>
      </w:r>
    </w:p>
    <w:p>
      <w:pPr>
        <w:pStyle w:val="Heading1"/>
        <w:keepNext/>
        <w:spacing w:before="360" w:after="120"/>
      </w:pPr>
      <w:r>
        <w:rPr>
          <w:rFonts w:ascii="Calibri" w:hAnsi="Calibri"/>
          <w:b/>
          <w:color w:val="1A365D"/>
          <w:sz w:val="32"/>
        </w:rPr>
        <w:t>5. LENGUAJE DE PROGRAMACIÓN Y PARADIGMAS</w:t>
      </w:r>
    </w:p>
    <w:p>
      <w:pPr>
        <w:spacing w:before="0" w:after="120" w:line="276" w:lineRule="auto"/>
        <w:jc w:val="both"/>
      </w:pPr>
      <w:r>
        <w:rPr>
          <w:rFonts w:ascii="Calibri" w:hAnsi="Calibri"/>
          <w:color w:val="2D3748"/>
          <w:sz w:val="22"/>
        </w:rPr>
        <w:t>El sistema está escrito íntegramente en Kotlin 2.0 (compilador K2), configurado con compatibilidad para JVM target 17 / 21 según los estándares de Android Gradle Plugin 8.9 [12]. Se eligió Kotlin debido a sus ventajas determinantes en ingeniería de software:</w:t>
      </w:r>
    </w:p>
    <w:p>
      <w:pPr>
        <w:pStyle w:val="ListBullet"/>
        <w:spacing w:before="0" w:after="80" w:line="276" w:lineRule="auto"/>
        <w:jc w:val="both"/>
      </w:pPr>
      <w:r>
        <w:rPr>
          <w:rFonts w:ascii="Calibri" w:hAnsi="Calibri"/>
          <w:color w:val="2D3748"/>
          <w:sz w:val="22"/>
        </w:rPr>
        <w:t>Seguridad contra nulos (Null Safety): Eliminación de NullPointerExceptions en tiempo de ejecución mediante tipos opcionales (?) y operadores Elvis (?:).</w:t>
      </w:r>
    </w:p>
    <w:p>
      <w:pPr>
        <w:pStyle w:val="ListBullet"/>
        <w:spacing w:before="0" w:after="80" w:line="276" w:lineRule="auto"/>
        <w:jc w:val="both"/>
      </w:pPr>
      <w:r>
        <w:rPr>
          <w:rFonts w:ascii="Calibri" w:hAnsi="Calibri"/>
          <w:color w:val="2D3748"/>
          <w:sz w:val="22"/>
        </w:rPr>
        <w:t>Corrutinas y Flujos Asíncronos (Kotlinx Coroutines &amp; Flow): Manejo reactivo y no bloqueante de operaciones de E/S, consultas de localización y lecturas de preferencias de sesión [13].</w:t>
      </w:r>
    </w:p>
    <w:p>
      <w:pPr>
        <w:pStyle w:val="ListBullet"/>
        <w:spacing w:before="0" w:after="80" w:line="276" w:lineRule="auto"/>
        <w:jc w:val="both"/>
      </w:pPr>
      <w:r>
        <w:rPr>
          <w:rFonts w:ascii="Calibri" w:hAnsi="Calibri"/>
          <w:color w:val="2D3748"/>
          <w:sz w:val="22"/>
        </w:rPr>
        <w:t>Clases de Datos (Data Classes) y Modelos Inmutables: Representación declarativa de entidades con soporte nativo de métodos copy(), equals() y hashCode().</w:t>
      </w:r>
    </w:p>
    <w:p>
      <w:pPr>
        <w:pStyle w:val="ListBullet"/>
        <w:spacing w:before="0" w:after="80" w:line="276" w:lineRule="auto"/>
        <w:jc w:val="both"/>
      </w:pPr>
      <w:r>
        <w:rPr>
          <w:rFonts w:ascii="Calibri" w:hAnsi="Calibri"/>
          <w:color w:val="2D3748"/>
          <w:sz w:val="22"/>
        </w:rPr>
        <w:t>Funciones de Extensión y Sintaxis Expresiva: Transformación idiomática entre modelos locales y entidades de dominio (.toDomain()).</w:t>
      </w:r>
    </w:p>
    <w:p>
      <w:pPr>
        <w:pStyle w:val="Heading1"/>
        <w:keepNext/>
        <w:spacing w:before="360" w:after="120"/>
      </w:pPr>
      <w:r>
        <w:rPr>
          <w:rFonts w:ascii="Calibri" w:hAnsi="Calibri"/>
          <w:b/>
          <w:color w:val="1A365D"/>
          <w:sz w:val="32"/>
        </w:rPr>
        <w:t>6. LIBRERÍAS DESTACADAS Y FRAMEWORKS</w:t>
      </w:r>
    </w:p>
    <w:p>
      <w:pPr>
        <w:spacing w:before="0" w:after="120" w:line="276" w:lineRule="auto"/>
        <w:jc w:val="both"/>
      </w:pPr>
      <w:r>
        <w:rPr>
          <w:rFonts w:ascii="Calibri" w:hAnsi="Calibri"/>
          <w:color w:val="2D3748"/>
          <w:sz w:val="22"/>
        </w:rPr>
        <w:t>A continuación se detallan las librerías oficiales de terceros y componentes de Jetpack integrados en el archivo de catálogo gradle/libs.versions.toml y app/build.gradle.kts [14]:</w:t>
      </w:r>
    </w:p>
    <w:tbl>
      <w:tblPr>
        <w:tblW w:type="auto" w:w="0"/>
        <w:jc w:val="center"/>
        <w:tblLook w:firstColumn="1" w:firstRow="1" w:lastColumn="0" w:lastRow="0" w:noHBand="0" w:noVBand="1" w:val="04A0"/>
      </w:tblPr>
      <w:tblGrid>
        <w:gridCol w:w="3120"/>
        <w:gridCol w:w="3120"/>
        <w:gridCol w:w="3120"/>
      </w:tblGrid>
      <w:tr>
        <w:trPr>
          <w:cantSplit/>
        </w:trPr>
        <w:tc>
          <w:tcPr>
            <w:tcW w:type="dxa" w:w="3120"/>
            <w:vAlign w:val="center"/>
            <w:tcMar>
              <w:top w:w="100" w:type="dxa"/>
              <w:bottom w:w="100" w:type="dxa"/>
              <w:left w:w="140" w:type="dxa"/>
              <w:right w:w="140" w:type="dxa"/>
            </w:tcMar>
            <w:shd w:fill="1A365D"/>
          </w:tcPr>
          <w:p>
            <w:pPr>
              <w:spacing w:before="40" w:after="40"/>
            </w:pPr>
            <w:r>
              <w:rPr>
                <w:rFonts w:ascii="Calibri" w:hAnsi="Calibri"/>
                <w:b/>
                <w:color w:val="FFFFFF"/>
                <w:sz w:val="20"/>
              </w:rPr>
              <w:t>Librería / Framework</w:t>
            </w:r>
          </w:p>
        </w:tc>
        <w:tc>
          <w:tcPr>
            <w:tcW w:type="dxa" w:w="3120"/>
            <w:vAlign w:val="center"/>
            <w:tcMar>
              <w:top w:w="100" w:type="dxa"/>
              <w:bottom w:w="100" w:type="dxa"/>
              <w:left w:w="140" w:type="dxa"/>
              <w:right w:w="140" w:type="dxa"/>
            </w:tcMar>
            <w:shd w:fill="1A365D"/>
          </w:tcPr>
          <w:p>
            <w:pPr>
              <w:spacing w:before="40" w:after="40"/>
            </w:pPr>
            <w:r>
              <w:rPr>
                <w:rFonts w:ascii="Calibri" w:hAnsi="Calibri"/>
                <w:b/>
                <w:color w:val="FFFFFF"/>
                <w:sz w:val="20"/>
              </w:rPr>
              <w:t>Identificador / Coordenada Gradle</w:t>
            </w:r>
          </w:p>
        </w:tc>
        <w:tc>
          <w:tcPr>
            <w:tcW w:type="dxa" w:w="3120"/>
            <w:vAlign w:val="center"/>
            <w:tcMar>
              <w:top w:w="100" w:type="dxa"/>
              <w:bottom w:w="100" w:type="dxa"/>
              <w:left w:w="140" w:type="dxa"/>
              <w:right w:w="140" w:type="dxa"/>
            </w:tcMar>
            <w:shd w:fill="1A365D"/>
          </w:tcPr>
          <w:p>
            <w:pPr>
              <w:spacing w:before="40" w:after="40"/>
            </w:pPr>
            <w:r>
              <w:rPr>
                <w:rFonts w:ascii="Calibri" w:hAnsi="Calibri"/>
                <w:b/>
                <w:color w:val="FFFFFF"/>
                <w:sz w:val="20"/>
              </w:rPr>
              <w:t>Propósito e Impacto en la App</w:t>
            </w:r>
          </w:p>
        </w:tc>
      </w:tr>
      <w:tr>
        <w:trPr>
          <w:cantSplit/>
        </w:trPr>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Compose UI &amp; BOM</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androidx.compose:compose-bom:2024.09.00</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Base declarativa de renderizado reactivo y gestión de ciclo de vida visual.</w:t>
            </w:r>
          </w:p>
        </w:tc>
      </w:tr>
      <w:tr>
        <w:trPr>
          <w:cantSplit/>
        </w:trPr>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Material Design 3</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androidx.compose.material3:material3</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Implementación de tarjetas con esquinas redondeadas de 16.dp, TopAppBar, BottomBar y Chips.</w:t>
            </w:r>
          </w:p>
        </w:tc>
      </w:tr>
      <w:tr>
        <w:trPr>
          <w:cantSplit/>
        </w:trPr>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Material Icons Extended</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androidx.compose.material:material-icons-extended</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Iconografía oficial completa: Scanner, Location, Person, ExitToApp, Visibility, Lock.</w:t>
            </w:r>
          </w:p>
        </w:tc>
      </w:tr>
      <w:tr>
        <w:trPr>
          <w:cantSplit/>
        </w:trPr>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Navigation Compose</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androidx.navigation:navigation-compose:2.8.8</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Enrutamiento tipo Single-Activity con paso seguro de argumentos y control de BackStack.</w:t>
            </w:r>
          </w:p>
        </w:tc>
      </w:tr>
      <w:tr>
        <w:trPr>
          <w:cantSplit/>
        </w:trPr>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CameraX Core &amp; View</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androidx.camera:camera-view:1.4.1</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Cámara embebida en tiempo de ejecución con vinculación segura al ciclo de vida de la Activity.</w:t>
            </w:r>
          </w:p>
        </w:tc>
      </w:tr>
      <w:tr>
        <w:trPr>
          <w:cantSplit/>
        </w:trPr>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CameraX Lifecycle</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androidx.camera:camera-lifecycle:1.4.1</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Garantiza apertura y liberación inmediata del hardware óptico sin fugas de memoria.</w:t>
            </w:r>
          </w:p>
        </w:tc>
      </w:tr>
      <w:tr>
        <w:trPr>
          <w:cantSplit/>
        </w:trPr>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ML Kit Text Recognition</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com.google.android.gms:play-services-mlkit-text-recognition:19.0.1</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Motor OCR On-Device que extrae texto de fotogramas sin consumir datos móviles ni nube [4].</w:t>
            </w:r>
          </w:p>
        </w:tc>
      </w:tr>
      <w:tr>
        <w:trPr>
          <w:cantSplit/>
        </w:trPr>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Google Maps Compose</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com.google.maps.android:maps-compose:6.4.1</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Componentes composables para GoogleMap, Marker, CameraPositionState y controles gestuales [15].</w:t>
            </w:r>
          </w:p>
        </w:tc>
      </w:tr>
      <w:tr>
        <w:trPr>
          <w:cantSplit/>
        </w:trPr>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Play Services Location</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com.google.android.gms:play-services-location:21.3.0</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Cliente FusedLocationProviderClient para geolocalización de alta precisión.</w:t>
            </w:r>
          </w:p>
        </w:tc>
      </w:tr>
    </w:tbl>
    <w:p>
      <w:pPr>
        <w:pStyle w:val="Heading1"/>
        <w:keepNext/>
        <w:spacing w:before="360" w:after="120"/>
      </w:pPr>
      <w:r>
        <w:rPr>
          <w:rFonts w:ascii="Calibri" w:hAnsi="Calibri"/>
          <w:b/>
          <w:color w:val="1A365D"/>
          <w:sz w:val="32"/>
        </w:rPr>
        <w:t>7. INTEGRACIÓN DE APIS, SERVICIOS Y PROTOCOLOS DE NAVEGACIÓN</w:t>
      </w:r>
    </w:p>
    <w:p>
      <w:pPr>
        <w:pStyle w:val="Heading2"/>
        <w:keepNext/>
        <w:spacing w:before="280" w:after="80"/>
      </w:pPr>
      <w:r>
        <w:rPr>
          <w:rFonts w:ascii="Calibri" w:hAnsi="Calibri"/>
          <w:b/>
          <w:color w:val="2B6CB0"/>
          <w:sz w:val="26"/>
        </w:rPr>
        <w:t>7.1 Google Maps Android SDK y Maps Compose</w:t>
      </w:r>
    </w:p>
    <w:p>
      <w:pPr>
        <w:spacing w:before="0" w:after="120" w:line="276" w:lineRule="auto"/>
        <w:jc w:val="both"/>
      </w:pPr>
      <w:r>
        <w:rPr>
          <w:rFonts w:ascii="Calibri" w:hAnsi="Calibri"/>
          <w:color w:val="2D3748"/>
          <w:sz w:val="22"/>
        </w:rPr>
        <w:t>Se configuró la clave de API en AndroidManifest.xml mediante el metadato com.google.android.geo.API_KEY. Maps Compose permite instanciar GoogleMap dentro del árbol de composición de Compose, renderizando polígonos de cobertura, marcadores personalizados de restaurantes aliados y control de cámara centrado en coordenadas del campus universitario [15].</w:t>
      </w:r>
    </w:p>
    <w:p>
      <w:pPr>
        <w:pStyle w:val="Heading2"/>
        <w:keepNext/>
        <w:spacing w:before="280" w:after="80"/>
      </w:pPr>
      <w:r>
        <w:rPr>
          <w:rFonts w:ascii="Calibri" w:hAnsi="Calibri"/>
          <w:b/>
          <w:color w:val="2B6CB0"/>
          <w:sz w:val="26"/>
        </w:rPr>
        <w:t>7.2 Google Play Services Fused Location Provider API</w:t>
      </w:r>
    </w:p>
    <w:p>
      <w:pPr>
        <w:spacing w:before="0" w:after="120" w:line="276" w:lineRule="auto"/>
        <w:jc w:val="both"/>
      </w:pPr>
      <w:r>
        <w:rPr>
          <w:rFonts w:ascii="Calibri" w:hAnsi="Calibri"/>
          <w:color w:val="2D3748"/>
          <w:sz w:val="22"/>
        </w:rPr>
        <w:t>Implementado en PlayServicesLocationRepositoryImpl.kt, obtiene la última ubicación conocida del estudiante empleando PRIORITY_HIGH_ACCURACY. Se combinan señales de GPS, Wi-Fi y redes móviles para alimentar el caso de uso FilterPlacesByDistanceUseCase.</w:t>
      </w:r>
    </w:p>
    <w:p>
      <w:pPr>
        <w:pStyle w:val="Heading2"/>
        <w:keepNext/>
        <w:spacing w:before="280" w:after="80"/>
      </w:pPr>
      <w:r>
        <w:rPr>
          <w:rFonts w:ascii="Calibri" w:hAnsi="Calibri"/>
          <w:b/>
          <w:color w:val="2B6CB0"/>
          <w:sz w:val="26"/>
        </w:rPr>
        <w:t>7.3 Google ML Kit On-Device Vision API</w:t>
      </w:r>
    </w:p>
    <w:p>
      <w:pPr>
        <w:spacing w:before="0" w:after="120" w:line="276" w:lineRule="auto"/>
        <w:jc w:val="both"/>
      </w:pPr>
      <w:r>
        <w:rPr>
          <w:rFonts w:ascii="Calibri" w:hAnsi="Calibri"/>
          <w:color w:val="2D3748"/>
          <w:sz w:val="22"/>
        </w:rPr>
        <w:t>A diferencia de las APIs tradicionales basadas en la nube que requieren cuotas de facturación y conexión estable, el TextRecognition.getClient(TextRecognizerOptions.DEFAULT_OPTIONS) de Google ML Kit opera localmente en el chip neural/CPU del dispositivo móvil. Esto protege la privacidad de los carnets universitarios y asegura una latencia menor a 300 milisegundos [4].</w:t>
      </w:r>
    </w:p>
    <w:p>
      <w:pPr>
        <w:pStyle w:val="Heading2"/>
        <w:keepNext/>
        <w:spacing w:before="280" w:after="80"/>
      </w:pPr>
      <w:r>
        <w:rPr>
          <w:rFonts w:ascii="Calibri" w:hAnsi="Calibri"/>
          <w:b/>
          <w:color w:val="2B6CB0"/>
          <w:sz w:val="26"/>
        </w:rPr>
        <w:t>7.4 Protocolo Seguro de Navegación e Intents Externos</w:t>
      </w:r>
    </w:p>
    <w:p>
      <w:pPr>
        <w:spacing w:before="0" w:after="120" w:line="276" w:lineRule="auto"/>
        <w:jc w:val="both"/>
      </w:pPr>
      <w:r>
        <w:rPr>
          <w:rFonts w:ascii="Calibri" w:hAnsi="Calibri"/>
          <w:color w:val="2D3748"/>
          <w:sz w:val="22"/>
        </w:rPr>
        <w:t>La aplicación integra despachadores de Intents Android con manejo defensivo de excepciones. Para la navegación geográfica hacia un comercio, se invoca el protocolo nativo 'google.navigation:q=lat,lng'. En caso de que el dispositivo no disponga de la aplicación de Google Maps instalada, el sistema captura ActivityNotFoundException y despacha un Intent web a la URL oficial 'https://www.google.com/maps/dir/?api=1&amp;destination='. De igual forma, la activación de beneficios externos utiliza Uri seguros con protocolo 'https://' [7].</w:t>
      </w:r>
    </w:p>
    <w:p>
      <w:pPr>
        <w:pStyle w:val="Heading1"/>
        <w:keepNext/>
        <w:spacing w:before="360" w:after="120"/>
      </w:pPr>
      <w:r>
        <w:rPr>
          <w:rFonts w:ascii="Calibri" w:hAnsi="Calibri"/>
          <w:b/>
          <w:color w:val="1A365D"/>
          <w:sz w:val="32"/>
        </w:rPr>
        <w:t>8. MÓDULOS Y FUNCIONALIDADES IMPLEMENTADAS EN VERSIÓN 1.2.2</w:t>
      </w:r>
    </w:p>
    <w:p>
      <w:pPr>
        <w:spacing w:before="0" w:after="120" w:line="276" w:lineRule="auto"/>
        <w:jc w:val="both"/>
      </w:pPr>
      <w:r>
        <w:rPr>
          <w:rFonts w:ascii="Calibri" w:hAnsi="Calibri"/>
          <w:color w:val="2D3748"/>
          <w:sz w:val="22"/>
        </w:rPr>
        <w:t>La versión 1.2.2 de EstudiHambres consolida el sistema en 6 módulos principales altamente auditados:</w:t>
      </w:r>
    </w:p>
    <w:p>
      <w:pPr>
        <w:pStyle w:val="Heading2"/>
        <w:keepNext/>
        <w:spacing w:before="280" w:after="80"/>
      </w:pPr>
      <w:r>
        <w:rPr>
          <w:rFonts w:ascii="Calibri" w:hAnsi="Calibri"/>
          <w:b/>
          <w:color w:val="2B6CB0"/>
          <w:sz w:val="26"/>
        </w:rPr>
        <w:t>8.1 Módulo de Identidad e Inicio: Logo Oficial Mapache Mamey y LoginScreen</w:t>
      </w:r>
    </w:p>
    <w:p>
      <w:pPr>
        <w:pStyle w:val="ListBullet"/>
        <w:spacing w:before="0" w:after="80" w:line="276" w:lineRule="auto"/>
        <w:jc w:val="both"/>
      </w:pPr>
      <w:r>
        <w:rPr>
          <w:rFonts w:ascii="Calibri" w:hAnsi="Calibri"/>
          <w:color w:val="2D3748"/>
          <w:sz w:val="22"/>
        </w:rPr>
        <w:t>Ilustración Oficial 'Mapache Mamey': Representación visual de un mapache bibliotecario estudioso con lentes y delantal, integrado como icono de aplicación (@drawable/app_logo), avatar en AppBar y tarjeta de saludo.</w:t>
      </w:r>
    </w:p>
    <w:p>
      <w:pPr>
        <w:pStyle w:val="ListBullet"/>
        <w:spacing w:before="0" w:after="80" w:line="276" w:lineRule="auto"/>
        <w:jc w:val="both"/>
      </w:pPr>
      <w:r>
        <w:rPr>
          <w:rFonts w:ascii="Calibri" w:hAnsi="Calibri"/>
          <w:color w:val="2D3748"/>
          <w:sz w:val="22"/>
        </w:rPr>
        <w:t>Validación de Credenciales: Captura y verificación de correo universitario y contraseña contra registros locales válidos, impidiendo bypass por contraseñas incorrectas.</w:t>
      </w:r>
    </w:p>
    <w:p>
      <w:pPr>
        <w:pStyle w:val="ListBullet"/>
        <w:spacing w:before="0" w:after="80" w:line="276" w:lineRule="auto"/>
        <w:jc w:val="both"/>
      </w:pPr>
      <w:r>
        <w:rPr>
          <w:rFonts w:ascii="Calibri" w:hAnsi="Calibri"/>
          <w:color w:val="2D3748"/>
          <w:sz w:val="22"/>
        </w:rPr>
        <w:t>Acceso Directo (Bypass Dev): Permite saltar directamente al Dashboard durante demostraciones académicas o revisiones sin credenciales previas, marcando la sesión con rol de desarrollador.</w:t>
      </w:r>
    </w:p>
    <w:p>
      <w:pPr>
        <w:pStyle w:val="Heading2"/>
        <w:keepNext/>
        <w:spacing w:before="280" w:after="80"/>
      </w:pPr>
      <w:r>
        <w:rPr>
          <w:rFonts w:ascii="Calibri" w:hAnsi="Calibri"/>
          <w:b/>
          <w:color w:val="2B6CB0"/>
          <w:sz w:val="26"/>
        </w:rPr>
        <w:t>8.2 Módulo de Registro Estudiantil con Autocomplete de Universidades</w:t>
      </w:r>
    </w:p>
    <w:p>
      <w:pPr>
        <w:pStyle w:val="ListBullet"/>
        <w:spacing w:before="0" w:after="80" w:line="276" w:lineRule="auto"/>
        <w:jc w:val="both"/>
      </w:pPr>
      <w:r>
        <w:rPr>
          <w:rFonts w:ascii="Calibri" w:hAnsi="Calibri"/>
          <w:color w:val="2D3748"/>
          <w:sz w:val="22"/>
        </w:rPr>
        <w:t>Validación de DNI: Restricción estricta de 8 dígitos numéricos con mensajes descriptivos de error.</w:t>
      </w:r>
    </w:p>
    <w:p>
      <w:pPr>
        <w:pStyle w:val="ListBullet"/>
        <w:spacing w:before="0" w:after="80" w:line="276" w:lineRule="auto"/>
        <w:jc w:val="both"/>
      </w:pPr>
      <w:r>
        <w:rPr>
          <w:rFonts w:ascii="Calibri" w:hAnsi="Calibri"/>
          <w:color w:val="2D3748"/>
          <w:sz w:val="22"/>
        </w:rPr>
        <w:t>Dropdown de Universidades: Componente ExposedDropdownMenuBox que lista interactivamente universidades peruanas conforme el usuario teclea (Continental, PUCP, San Marcos, UNI, UPC, UTEC, UNSA, etc.).</w:t>
      </w:r>
    </w:p>
    <w:p>
      <w:pPr>
        <w:pStyle w:val="ListBullet"/>
        <w:spacing w:before="0" w:after="80" w:line="276" w:lineRule="auto"/>
        <w:jc w:val="both"/>
      </w:pPr>
      <w:r>
        <w:rPr>
          <w:rFonts w:ascii="Calibri" w:hAnsi="Calibri"/>
          <w:color w:val="2D3748"/>
          <w:sz w:val="22"/>
        </w:rPr>
        <w:t>Contraseña Segura: Verificación de longitud mínima de 6 caracteres.</w:t>
      </w:r>
    </w:p>
    <w:p>
      <w:pPr>
        <w:pStyle w:val="Heading2"/>
        <w:keepNext/>
        <w:spacing w:before="280" w:after="80"/>
      </w:pPr>
      <w:r>
        <w:rPr>
          <w:rFonts w:ascii="Calibri" w:hAnsi="Calibri"/>
          <w:b/>
          <w:color w:val="2B6CB0"/>
          <w:sz w:val="26"/>
        </w:rPr>
        <w:t>8.3 Módulo de Verificación Inteligente de Carnet Universitario con CameraX</w:t>
      </w:r>
    </w:p>
    <w:p>
      <w:pPr>
        <w:pStyle w:val="ListBullet"/>
        <w:spacing w:before="0" w:after="80" w:line="276" w:lineRule="auto"/>
        <w:jc w:val="both"/>
      </w:pPr>
      <w:r>
        <w:rPr>
          <w:rFonts w:ascii="Calibri" w:hAnsi="Calibri"/>
          <w:color w:val="2D3748"/>
          <w:sz w:val="22"/>
        </w:rPr>
        <w:t>Cámara Embebida en Recuadro: Uso directo de CameraX PreviewView acoplado a un marco guía con esquinas redondeadas.</w:t>
      </w:r>
    </w:p>
    <w:p>
      <w:pPr>
        <w:pStyle w:val="ListBullet"/>
        <w:spacing w:before="0" w:after="80" w:line="276" w:lineRule="auto"/>
        <w:jc w:val="both"/>
      </w:pPr>
      <w:r>
        <w:rPr>
          <w:rFonts w:ascii="Calibri" w:hAnsi="Calibri"/>
          <w:color w:val="2D3748"/>
          <w:sz w:val="22"/>
        </w:rPr>
        <w:t>Estabilización Multi-Frame: Análisis continuo de fotogramas requiriendo confirmación consecutiva de palabras clave SUNEDU.</w:t>
      </w:r>
    </w:p>
    <w:p>
      <w:pPr>
        <w:pStyle w:val="ListBullet"/>
        <w:spacing w:before="0" w:after="80" w:line="276" w:lineRule="auto"/>
        <w:jc w:val="both"/>
      </w:pPr>
      <w:r>
        <w:rPr>
          <w:rFonts w:ascii="Calibri" w:hAnsi="Calibri"/>
          <w:color w:val="2D3748"/>
          <w:sz w:val="22"/>
        </w:rPr>
        <w:t>Filtro Anti-Recibos: Rechazo sistemático de tickets de venta, boletas comerciales o documentos que carezcan de la estructura oficial ID-1.</w:t>
      </w:r>
    </w:p>
    <w:p>
      <w:pPr>
        <w:pStyle w:val="ListBullet"/>
        <w:spacing w:before="0" w:after="80" w:line="276" w:lineRule="auto"/>
        <w:jc w:val="both"/>
      </w:pPr>
      <w:r>
        <w:rPr>
          <w:rFonts w:ascii="Calibri" w:hAnsi="Calibri"/>
          <w:color w:val="2D3748"/>
          <w:sz w:val="22"/>
        </w:rPr>
        <w:t>Regla de Carnet Único: Un estudiante regular solo puede escanear y registrar un carnet en su cuenta de usuario. El rol desarrollador mantiene habilitada la re-verificación para pruebas técnicas.</w:t>
      </w:r>
    </w:p>
    <w:p>
      <w:pPr>
        <w:pStyle w:val="Heading2"/>
        <w:keepNext/>
        <w:spacing w:before="280" w:after="80"/>
      </w:pPr>
      <w:r>
        <w:rPr>
          <w:rFonts w:ascii="Calibri" w:hAnsi="Calibri"/>
          <w:b/>
          <w:color w:val="2B6CB0"/>
          <w:sz w:val="26"/>
        </w:rPr>
        <w:t>8.4 Módulo de Dashboard Principal (HomeScreen): Métricas y Carruseles</w:t>
      </w:r>
    </w:p>
    <w:p>
      <w:pPr>
        <w:pStyle w:val="ListBullet"/>
        <w:spacing w:before="0" w:after="80" w:line="276" w:lineRule="auto"/>
        <w:jc w:val="both"/>
      </w:pPr>
      <w:r>
        <w:rPr>
          <w:rFonts w:ascii="Calibri" w:hAnsi="Calibri"/>
          <w:color w:val="2D3748"/>
          <w:sz w:val="22"/>
        </w:rPr>
        <w:t>Widget de Ahorro Acumulado: Indicador financiero destacado (S/ 142.50) con comparativa mensual (+28%).</w:t>
      </w:r>
    </w:p>
    <w:p>
      <w:pPr>
        <w:pStyle w:val="ListBullet"/>
        <w:spacing w:before="0" w:after="80" w:line="276" w:lineRule="auto"/>
        <w:jc w:val="both"/>
      </w:pPr>
      <w:r>
        <w:rPr>
          <w:rFonts w:ascii="Calibri" w:hAnsi="Calibri"/>
          <w:color w:val="2D3748"/>
          <w:sz w:val="22"/>
        </w:rPr>
        <w:t>Carrusel '✨ Para ti (Más Populares)': Ofertas masivas con tags de descuento (2x1, 50% DCTO) y botón 'Activar beneficio'.</w:t>
      </w:r>
    </w:p>
    <w:p>
      <w:pPr>
        <w:pStyle w:val="ListBullet"/>
        <w:spacing w:before="0" w:after="80" w:line="276" w:lineRule="auto"/>
        <w:jc w:val="both"/>
      </w:pPr>
      <w:r>
        <w:rPr>
          <w:rFonts w:ascii="Calibri" w:hAnsi="Calibri"/>
          <w:color w:val="2D3748"/>
          <w:sz w:val="22"/>
        </w:rPr>
        <w:t>Carrusel '📍 Cerca de tu campus': Comercios con distancia en metros y tiempo de caminata estimado.</w:t>
      </w:r>
    </w:p>
    <w:p>
      <w:pPr>
        <w:pStyle w:val="ListBullet"/>
        <w:spacing w:before="0" w:after="80" w:line="276" w:lineRule="auto"/>
        <w:jc w:val="both"/>
      </w:pPr>
      <w:r>
        <w:rPr>
          <w:rFonts w:ascii="Calibri" w:hAnsi="Calibri"/>
          <w:color w:val="2D3748"/>
          <w:sz w:val="22"/>
        </w:rPr>
        <w:t>Carrusel '💻 Beneficios Virtuales &amp; Tech': Licencias de software educativo (GitHub, Notion, Figma) 100% gratuitas.</w:t>
      </w:r>
    </w:p>
    <w:p>
      <w:pPr>
        <w:pStyle w:val="ListBullet"/>
        <w:spacing w:before="0" w:after="80" w:line="276" w:lineRule="auto"/>
        <w:jc w:val="both"/>
      </w:pPr>
      <w:r>
        <w:rPr>
          <w:rFonts w:ascii="Calibri" w:hAnsi="Calibri"/>
          <w:color w:val="2D3748"/>
          <w:sz w:val="22"/>
        </w:rPr>
        <w:t>Avatar Dinámico en TopBar: Muestra la foto de perfil personalizada o el isotipo de la mascota como respaldo.</w:t>
      </w:r>
    </w:p>
    <w:p>
      <w:pPr>
        <w:pStyle w:val="Heading2"/>
        <w:keepNext/>
        <w:spacing w:before="280" w:after="80"/>
      </w:pPr>
      <w:r>
        <w:rPr>
          <w:rFonts w:ascii="Calibri" w:hAnsi="Calibri"/>
          <w:b/>
          <w:color w:val="2B6CB0"/>
          <w:sz w:val="26"/>
        </w:rPr>
        <w:t>8.5 Módulo de Radar Geográfico de 30 km (MapScreen)</w:t>
      </w:r>
    </w:p>
    <w:p>
      <w:pPr>
        <w:pStyle w:val="ListBullet"/>
        <w:spacing w:before="0" w:after="80" w:line="276" w:lineRule="auto"/>
        <w:jc w:val="both"/>
      </w:pPr>
      <w:r>
        <w:rPr>
          <w:rFonts w:ascii="Calibri" w:hAnsi="Calibri"/>
          <w:color w:val="2D3748"/>
          <w:sz w:val="22"/>
        </w:rPr>
        <w:t>Fórmula de Haversine: Algoritmo esférico que calcula distancias reales considerando el radio terrestre (6371.0 km) [6].</w:t>
      </w:r>
    </w:p>
    <w:p>
      <w:pPr>
        <w:pStyle w:val="ListBullet"/>
        <w:spacing w:before="0" w:after="80" w:line="276" w:lineRule="auto"/>
        <w:jc w:val="both"/>
      </w:pPr>
      <w:r>
        <w:rPr>
          <w:rFonts w:ascii="Calibri" w:hAnsi="Calibri"/>
          <w:color w:val="2D3748"/>
          <w:sz w:val="22"/>
        </w:rPr>
        <w:t>9 Locales Comerciales Reales: Establecimientos verificados en Cusco (Bembos Real Plaza, Starbucks Av. Cultura, Chomba Cusco, Cicciolina) y Lima.</w:t>
      </w:r>
    </w:p>
    <w:p>
      <w:pPr>
        <w:pStyle w:val="ListBullet"/>
        <w:spacing w:before="0" w:after="80" w:line="276" w:lineRule="auto"/>
        <w:jc w:val="both"/>
      </w:pPr>
      <w:r>
        <w:rPr>
          <w:rFonts w:ascii="Calibri" w:hAnsi="Calibri"/>
          <w:color w:val="2D3748"/>
          <w:sz w:val="22"/>
        </w:rPr>
        <w:t>Navegación Asistida 'Cómo Llegar': Integración de Intents con Google Maps nativo y fallback web automático.</w:t>
      </w:r>
    </w:p>
    <w:p>
      <w:pPr>
        <w:pStyle w:val="ListBullet"/>
        <w:spacing w:before="0" w:after="80" w:line="276" w:lineRule="auto"/>
        <w:jc w:val="both"/>
      </w:pPr>
      <w:r>
        <w:rPr>
          <w:rFonts w:ascii="Calibri" w:hAnsi="Calibri"/>
          <w:color w:val="2D3748"/>
          <w:sz w:val="22"/>
        </w:rPr>
        <w:t>Modo Dual (Mapa / Lista): Botón flotante para alternar entre el mapa satelital y la lista interactiva de locales.</w:t>
      </w:r>
    </w:p>
    <w:p>
      <w:pPr>
        <w:pStyle w:val="Heading2"/>
        <w:keepNext/>
        <w:spacing w:before="280" w:after="80"/>
      </w:pPr>
      <w:r>
        <w:rPr>
          <w:rFonts w:ascii="Calibri" w:hAnsi="Calibri"/>
          <w:b/>
          <w:color w:val="2B6CB0"/>
          <w:sz w:val="26"/>
        </w:rPr>
        <w:t>8.6 Módulo de Perfil de Usuario Blindado (ProfileScreen)</w:t>
      </w:r>
    </w:p>
    <w:p>
      <w:pPr>
        <w:pStyle w:val="ListBullet"/>
        <w:spacing w:before="0" w:after="80" w:line="276" w:lineRule="auto"/>
        <w:jc w:val="both"/>
      </w:pPr>
      <w:r>
        <w:rPr>
          <w:rFonts w:ascii="Calibri" w:hAnsi="Calibri"/>
          <w:color w:val="2D3748"/>
          <w:sz w:val="22"/>
        </w:rPr>
        <w:t>Inmutabilidad de Identidad: Campos DNI y Universidad bloqueados en solo lectura con icono de candado y advertencia SUNEDU.</w:t>
      </w:r>
    </w:p>
    <w:p>
      <w:pPr>
        <w:pStyle w:val="ListBullet"/>
        <w:spacing w:before="0" w:after="80" w:line="276" w:lineRule="auto"/>
        <w:jc w:val="both"/>
      </w:pPr>
      <w:r>
        <w:rPr>
          <w:rFonts w:ascii="Calibri" w:hAnsi="Calibri"/>
          <w:color w:val="2D3748"/>
          <w:sz w:val="22"/>
        </w:rPr>
        <w:t>Selector de Foto de Perfil: Permite cargar una imagen de la galería, copiándola al sandbox privado de la app.</w:t>
      </w:r>
    </w:p>
    <w:p>
      <w:pPr>
        <w:pStyle w:val="ListBullet"/>
        <w:spacing w:before="0" w:after="80" w:line="276" w:lineRule="auto"/>
        <w:jc w:val="both"/>
      </w:pPr>
      <w:r>
        <w:rPr>
          <w:rFonts w:ascii="Calibri" w:hAnsi="Calibri"/>
          <w:color w:val="2D3748"/>
          <w:sz w:val="22"/>
        </w:rPr>
        <w:t>Edición Controlada: Permite actualizar Nombre, Carrera y Código Estudiantil sin comprometer la identidad legal.</w:t>
      </w:r>
    </w:p>
    <w:p>
      <w:pPr>
        <w:pStyle w:val="ListBullet"/>
        <w:spacing w:before="0" w:after="80" w:line="276" w:lineRule="auto"/>
        <w:jc w:val="both"/>
      </w:pPr>
      <w:r>
        <w:rPr>
          <w:rFonts w:ascii="Calibri" w:hAnsi="Calibri"/>
          <w:color w:val="2D3748"/>
          <w:sz w:val="22"/>
        </w:rPr>
        <w:t>Preferencias de Radar y Alertas: Chips de selección de radio (5 km, 15 km, 30 km) y toggle de alertas a 200m.</w:t>
      </w:r>
    </w:p>
    <w:p>
      <w:pPr>
        <w:pStyle w:val="ListBullet"/>
        <w:spacing w:before="0" w:after="80" w:line="276" w:lineRule="auto"/>
        <w:jc w:val="both"/>
      </w:pPr>
      <w:r>
        <w:rPr>
          <w:rFonts w:ascii="Calibri" w:hAnsi="Calibri"/>
          <w:color w:val="2D3748"/>
          <w:sz w:val="22"/>
        </w:rPr>
        <w:t>Cierre de Sesión Seguro: Invoca SessionManager.clearSession() y purga el BackStack hacia LoginScreen.</w:t>
      </w:r>
    </w:p>
    <w:p>
      <w:pPr>
        <w:pStyle w:val="Heading1"/>
        <w:keepNext/>
        <w:spacing w:before="360" w:after="120"/>
      </w:pPr>
      <w:r>
        <w:rPr>
          <w:rFonts w:ascii="Calibri" w:hAnsi="Calibri"/>
          <w:b/>
          <w:color w:val="1A365D"/>
          <w:sz w:val="32"/>
        </w:rPr>
        <w:t>9. INFORME DE AUDITORÍA TÉCNICA Y ASEGURAMIENTO DE CALIDAD (QA)</w:t>
      </w:r>
    </w:p>
    <w:p>
      <w:pPr>
        <w:spacing w:before="0" w:after="120" w:line="276" w:lineRule="auto"/>
        <w:jc w:val="both"/>
      </w:pPr>
      <w:r>
        <w:rPr>
          <w:rFonts w:ascii="Calibri" w:hAnsi="Calibri"/>
          <w:color w:val="2D3748"/>
          <w:sz w:val="22"/>
        </w:rPr>
        <w:t>En cumplimiento de los estándares de fiabilidad de software [16], se diseñó e implementó una suite de 129 pruebas unitarias automatizadas distribuidas en 15 suites bajo JUnit 4. Todas las pruebas se ejecutan con una tasa de éxito del 100% (BUILD SUCCESSFUL en 16 segundos), 0 advertencias de compilación y 0 errores de Android Lint:</w:t>
      </w:r>
    </w:p>
    <w:tbl>
      <w:tblPr>
        <w:tblW w:type="auto" w:w="0"/>
        <w:jc w:val="center"/>
        <w:tblLook w:firstColumn="1" w:firstRow="1" w:lastColumn="0" w:lastRow="0" w:noHBand="0" w:noVBand="1" w:val="04A0"/>
      </w:tblPr>
      <w:tblGrid>
        <w:gridCol w:w="3120"/>
        <w:gridCol w:w="3120"/>
        <w:gridCol w:w="3120"/>
      </w:tblGrid>
      <w:tr>
        <w:trPr>
          <w:cantSplit/>
        </w:trPr>
        <w:tc>
          <w:tcPr>
            <w:tcW w:type="dxa" w:w="3120"/>
            <w:vAlign w:val="center"/>
            <w:tcMar>
              <w:top w:w="100" w:type="dxa"/>
              <w:bottom w:w="100" w:type="dxa"/>
              <w:left w:w="140" w:type="dxa"/>
              <w:right w:w="140" w:type="dxa"/>
            </w:tcMar>
            <w:shd w:fill="1A365D"/>
          </w:tcPr>
          <w:p>
            <w:pPr>
              <w:spacing w:before="40" w:after="40"/>
            </w:pPr>
            <w:r>
              <w:rPr>
                <w:rFonts w:ascii="Calibri" w:hAnsi="Calibri"/>
                <w:b/>
                <w:color w:val="FFFFFF"/>
                <w:sz w:val="20"/>
              </w:rPr>
              <w:t>Suite de Pruebas QA</w:t>
            </w:r>
          </w:p>
        </w:tc>
        <w:tc>
          <w:tcPr>
            <w:tcW w:type="dxa" w:w="3120"/>
            <w:vAlign w:val="center"/>
            <w:tcMar>
              <w:top w:w="100" w:type="dxa"/>
              <w:bottom w:w="100" w:type="dxa"/>
              <w:left w:w="140" w:type="dxa"/>
              <w:right w:w="140" w:type="dxa"/>
            </w:tcMar>
            <w:shd w:fill="1A365D"/>
          </w:tcPr>
          <w:p>
            <w:pPr>
              <w:spacing w:before="40" w:after="40"/>
            </w:pPr>
            <w:r>
              <w:rPr>
                <w:rFonts w:ascii="Calibri" w:hAnsi="Calibri"/>
                <w:b/>
                <w:color w:val="FFFFFF"/>
                <w:sz w:val="20"/>
              </w:rPr>
              <w:t>Casos</w:t>
            </w:r>
          </w:p>
        </w:tc>
        <w:tc>
          <w:tcPr>
            <w:tcW w:type="dxa" w:w="3120"/>
            <w:vAlign w:val="center"/>
            <w:tcMar>
              <w:top w:w="100" w:type="dxa"/>
              <w:bottom w:w="100" w:type="dxa"/>
              <w:left w:w="140" w:type="dxa"/>
              <w:right w:w="140" w:type="dxa"/>
            </w:tcMar>
            <w:shd w:fill="1A365D"/>
          </w:tcPr>
          <w:p>
            <w:pPr>
              <w:spacing w:before="40" w:after="40"/>
            </w:pPr>
            <w:r>
              <w:rPr>
                <w:rFonts w:ascii="Calibri" w:hAnsi="Calibri"/>
                <w:b/>
                <w:color w:val="FFFFFF"/>
                <w:sz w:val="20"/>
              </w:rPr>
              <w:t>Escenarios y Criterios de Aceptación Validados</w:t>
            </w:r>
          </w:p>
        </w:tc>
      </w:tr>
      <w:tr>
        <w:trPr>
          <w:cantSplit/>
        </w:trPr>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AuthAndCredentialsQaTest</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16</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DNI de 8 dígitos exactos, rechazo de letras/espacios/símbolos, validación de correos institucionales (.edu.pe, .edu, .pe), rechazo de dominios comerciales genéricos (@gmail.com, @outlook.com) y longitud de contraseñas.</w:t>
            </w:r>
          </w:p>
        </w:tc>
      </w:tr>
      <w:tr>
        <w:trPr>
          <w:cantSplit/>
        </w:trPr>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StudentCardOcrQaTest</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12</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Detección de carnet oficial SUNEDU 2026/2027, tolerancia a mayúsculas/minúsculas, extracción de códigos universitarios, identificación de universidades peruanas (Continental, San Marcos, PUCP, UNSAAC) y rechazo estricto de boletas comerciales o texto vacío.</w:t>
            </w:r>
          </w:p>
        </w:tc>
      </w:tr>
      <w:tr>
        <w:trPr>
          <w:cantSplit/>
        </w:trPr>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GeolocationRadarQaTest</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12</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Cálculo esférico Haversine con distancia cero entre coordenadas idénticas, simetría d(A,B) = d(B,A), distancias dentro del radio en Cusco, exclusión de locales lejanos (&gt;30 km como Lima-Cusco) y filtrado con radios personalizados (5 km, 30 km).</w:t>
            </w:r>
          </w:p>
        </w:tc>
      </w:tr>
      <w:tr>
        <w:trPr>
          <w:cantSplit/>
        </w:trPr>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PromotionsAndDealsCatalogQaTest</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12</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Verificación de URLs oficiales válidas con prefijo seguro https:// (Spotify, Notion, GitHub, Figma, Cineplanet, Apple, JetBrains, KFC), filtrado por categorías de catálogo (Comida, Software, Transporte, Entretenimiento, Educación).</w:t>
            </w:r>
          </w:p>
        </w:tc>
      </w:tr>
      <w:tr>
        <w:trPr>
          <w:cantSplit/>
        </w:trPr>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UserProfileAndSessionQaTest</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22</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Inmutabilidad de DNI y Universidad durante updateProfile(), persistencia de avatar local en sandbox, ciclo de vida de verificación, carnet único por estudiante vs modo dev, preferencias de radar y cálculo de ahorro acumulado.</w:t>
            </w:r>
          </w:p>
        </w:tc>
      </w:tr>
      <w:tr>
        <w:trPr>
          <w:cantSplit/>
        </w:trPr>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IntuitiveUxAndNavigationQaTest</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15</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Chips de búsqueda rápida, radio dinámico (5/15/30 km), alternancia de campus (Cusco/Lima), catálogo universitario nacional, validación de DNI de 8 dígitos, dominios .edu.pe, metadatos de PromotionDetailSheet, FAQ y ETA de caminata.</w:t>
            </w:r>
          </w:p>
        </w:tc>
      </w:tr>
      <w:tr>
        <w:trPr>
          <w:cantSplit/>
        </w:trPr>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FunctionalRedemptionAndSavingsQaTest</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10</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Generación de código token oficial CP-XXXX-YYYY, algoritmos de cálculo de ahorro (descuentos porcentuales, 2x1, precios fijos), ventana de expiración de 48 horas, formateadores de fechas en español peruano y unicidad de tokens.</w:t>
            </w:r>
          </w:p>
        </w:tc>
      </w:tr>
      <w:tr>
        <w:trPr>
          <w:cantSplit/>
        </w:trPr>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UserExperienceAndPersonaQaTest</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10</w:t>
            </w:r>
          </w:p>
        </w:tc>
        <w:tc>
          <w:tcPr>
            <w:tcW w:type="dxa" w:w="3120"/>
            <w:vAlign w:val="center"/>
            <w:tcMar>
              <w:top w:w="100" w:type="dxa"/>
              <w:bottom w:w="100" w:type="dxa"/>
              <w:left w:w="140" w:type="dxa"/>
              <w:right w:w="140" w:type="dxa"/>
            </w:tcMar>
            <w:shd w:fill="F8FAFC"/>
          </w:tcPr>
          <w:p>
            <w:pPr>
              <w:spacing w:before="40" w:after="40"/>
            </w:pPr>
            <w:r>
              <w:rPr>
                <w:rFonts w:ascii="Calibri" w:hAnsi="Calibri"/>
                <w:color w:val="2D3748"/>
                <w:sz w:val="19"/>
              </w:rPr>
              <w:t>Simulación de personas reales: Cachimbo/Ingresante (validación y rechazo), Senior de Software (JetBrains, GitHub), Estudiante en Presupuesto (combos gastronómicos en Cusco), Estudiante Conmutador (medio pasaje ATU, radios 5k/15k/30k), inmutabilidad de campos protegidos, marcado en punto de venta y expiración.</w:t>
            </w:r>
          </w:p>
        </w:tc>
      </w:tr>
      <w:tr>
        <w:trPr>
          <w:cantSplit/>
        </w:trPr>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Domain UseCases Unit Tests</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20</w:t>
            </w:r>
          </w:p>
        </w:tc>
        <w:tc>
          <w:tcPr>
            <w:tcW w:type="dxa" w:w="3120"/>
            <w:vAlign w:val="center"/>
            <w:tcMar>
              <w:top w:w="100" w:type="dxa"/>
              <w:bottom w:w="100" w:type="dxa"/>
              <w:left w:w="140" w:type="dxa"/>
              <w:right w:w="140" w:type="dxa"/>
            </w:tcMar>
            <w:shd w:fill="FFFFFF"/>
          </w:tcPr>
          <w:p>
            <w:pPr>
              <w:spacing w:before="40" w:after="40"/>
            </w:pPr>
            <w:r>
              <w:rPr>
                <w:rFonts w:ascii="Calibri" w:hAnsi="Calibri"/>
                <w:color w:val="2D3748"/>
                <w:sz w:val="19"/>
              </w:rPr>
              <w:t>Validación unitaria de ValidateStudentCredentialsUseCase, ParseStudentCardOcrUseCase, FilterPlacesByDistanceUseCase, FilterCommercesByDistanceUseCase, RedeemCouponUseCase y PromotionFiltering.</w:t>
            </w:r>
          </w:p>
        </w:tc>
      </w:tr>
    </w:tbl>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40" w:line="276" w:lineRule="auto"/>
            </w:pPr>
            <w:r>
              <w:rPr>
                <w:rFonts w:ascii="Calibri" w:hAnsi="Calibri"/>
                <w:b/>
                <w:color w:val="1A365D"/>
                <w:sz w:val="20"/>
              </w:rPr>
              <w:t xml:space="preserve">📌 CERTIFICACIÓN QA - 129 PRUEBAS EXITOSAS: </w:t>
            </w:r>
            <w:r>
              <w:rPr>
                <w:rFonts w:ascii="Calibri" w:hAnsi="Calibri"/>
                <w:color w:val="2D3748"/>
                <w:sz w:val="20"/>
              </w:rPr>
              <w:t>Total de pruebas unitarias en el proyecto: 129 pruebas ejecutadas mediante './gradlew testDebugUnitTest' con 0 fallos. Supera con creces el requerimiento mínimo estipulado de 50 pruebas QA, garantizando 100% de confiabilidad funcional y técnica.</w:t>
            </w:r>
          </w:p>
        </w:tc>
      </w:tr>
    </w:tbl>
    <w:p>
      <w:pPr>
        <w:spacing w:before="0" w:after="80"/>
      </w:pPr>
    </w:p>
    <w:p>
      <w:pPr>
        <w:pStyle w:val="Heading1"/>
        <w:keepNext/>
        <w:spacing w:before="360" w:after="120"/>
      </w:pPr>
      <w:r>
        <w:rPr>
          <w:rFonts w:ascii="Calibri" w:hAnsi="Calibri"/>
          <w:b/>
          <w:color w:val="1A365D"/>
          <w:sz w:val="32"/>
        </w:rPr>
        <w:t>10. IDENTIDAD DE MARCA, ACCESIBILIDAD Y CAPTURAS DE PANTALLA</w:t>
      </w:r>
    </w:p>
    <w:p>
      <w:pPr>
        <w:spacing w:before="0" w:after="120" w:line="276" w:lineRule="auto"/>
        <w:jc w:val="both"/>
      </w:pPr>
      <w:r>
        <w:rPr>
          <w:rFonts w:ascii="Calibri" w:hAnsi="Calibri"/>
          <w:color w:val="2D3748"/>
          <w:sz w:val="22"/>
        </w:rPr>
        <w:t>A continuación se ilustran las vistas principales del sistema en su versión auditada 1.2.2 capturadas directamente desde el entorno de pruebas:</w:t>
      </w:r>
    </w:p>
    <w:p>
      <w:pPr>
        <w:spacing w:before="160" w:after="80"/>
        <w:jc w:val="center"/>
      </w:pPr>
      <w:r>
        <w:drawing>
          <wp:inline xmlns:a="http://schemas.openxmlformats.org/drawingml/2006/main" xmlns:pic="http://schemas.openxmlformats.org/drawingml/2006/picture">
            <wp:extent cx="2377440" cy="5292634"/>
            <wp:docPr id="2" name="Picture 2"/>
            <wp:cNvGraphicFramePr>
              <a:graphicFrameLocks noChangeAspect="1"/>
            </wp:cNvGraphicFramePr>
            <a:graphic>
              <a:graphicData uri="http://schemas.openxmlformats.org/drawingml/2006/picture">
                <pic:pic>
                  <pic:nvPicPr>
                    <pic:cNvPr id="0" name="screen_qa1.png"/>
                    <pic:cNvPicPr/>
                  </pic:nvPicPr>
                  <pic:blipFill>
                    <a:blip r:embed="rId10"/>
                    <a:stretch>
                      <a:fillRect/>
                    </a:stretch>
                  </pic:blipFill>
                  <pic:spPr>
                    <a:xfrm>
                      <a:off x="0" y="0"/>
                      <a:ext cx="2377440" cy="5292634"/>
                    </a:xfrm>
                    <a:prstGeom prst="rect"/>
                  </pic:spPr>
                </pic:pic>
              </a:graphicData>
            </a:graphic>
          </wp:inline>
        </w:drawing>
      </w:r>
    </w:p>
    <w:p>
      <w:pPr>
        <w:spacing w:before="0" w:after="240"/>
        <w:jc w:val="center"/>
      </w:pPr>
      <w:r>
        <w:rPr>
          <w:rFonts w:ascii="Calibri" w:hAnsi="Calibri"/>
          <w:i/>
          <w:color w:val="718096"/>
          <w:sz w:val="19"/>
        </w:rPr>
        <w:t>Figura 1: Pantalla de Inicio de Sesión (LoginScreen) con Mascota Mapache Mamey y Acceso Directo Dev.</w:t>
      </w:r>
    </w:p>
    <w:p>
      <w:pPr>
        <w:spacing w:before="160" w:after="80"/>
        <w:jc w:val="center"/>
      </w:pPr>
      <w:r>
        <w:drawing>
          <wp:inline xmlns:a="http://schemas.openxmlformats.org/drawingml/2006/main" xmlns:pic="http://schemas.openxmlformats.org/drawingml/2006/picture">
            <wp:extent cx="2377440" cy="5292634"/>
            <wp:docPr id="3" name="Picture 3"/>
            <wp:cNvGraphicFramePr>
              <a:graphicFrameLocks noChangeAspect="1"/>
            </wp:cNvGraphicFramePr>
            <a:graphic>
              <a:graphicData uri="http://schemas.openxmlformats.org/drawingml/2006/picture">
                <pic:pic>
                  <pic:nvPicPr>
                    <pic:cNvPr id="0" name="screen_qa2.png"/>
                    <pic:cNvPicPr/>
                  </pic:nvPicPr>
                  <pic:blipFill>
                    <a:blip r:embed="rId11"/>
                    <a:stretch>
                      <a:fillRect/>
                    </a:stretch>
                  </pic:blipFill>
                  <pic:spPr>
                    <a:xfrm>
                      <a:off x="0" y="0"/>
                      <a:ext cx="2377440" cy="5292634"/>
                    </a:xfrm>
                    <a:prstGeom prst="rect"/>
                  </pic:spPr>
                </pic:pic>
              </a:graphicData>
            </a:graphic>
          </wp:inline>
        </w:drawing>
      </w:r>
    </w:p>
    <w:p>
      <w:pPr>
        <w:spacing w:before="0" w:after="240"/>
        <w:jc w:val="center"/>
      </w:pPr>
      <w:r>
        <w:rPr>
          <w:rFonts w:ascii="Calibri" w:hAnsi="Calibri"/>
          <w:i/>
          <w:color w:val="718096"/>
          <w:sz w:val="19"/>
        </w:rPr>
        <w:t>Figura 2: Dashboard Principal (HomeScreen) con Ahorro Acumulado, Carruseles Horizontales y Barra Inferior.</w:t>
      </w:r>
    </w:p>
    <w:p>
      <w:pPr>
        <w:spacing w:before="160" w:after="80"/>
        <w:jc w:val="center"/>
      </w:pPr>
      <w:r>
        <w:drawing>
          <wp:inline xmlns:a="http://schemas.openxmlformats.org/drawingml/2006/main" xmlns:pic="http://schemas.openxmlformats.org/drawingml/2006/picture">
            <wp:extent cx="2377440" cy="5292634"/>
            <wp:docPr id="4" name="Picture 4"/>
            <wp:cNvGraphicFramePr>
              <a:graphicFrameLocks noChangeAspect="1"/>
            </wp:cNvGraphicFramePr>
            <a:graphic>
              <a:graphicData uri="http://schemas.openxmlformats.org/drawingml/2006/picture">
                <pic:pic>
                  <pic:nvPicPr>
                    <pic:cNvPr id="0" name="screen_qa3.png"/>
                    <pic:cNvPicPr/>
                  </pic:nvPicPr>
                  <pic:blipFill>
                    <a:blip r:embed="rId12"/>
                    <a:stretch>
                      <a:fillRect/>
                    </a:stretch>
                  </pic:blipFill>
                  <pic:spPr>
                    <a:xfrm>
                      <a:off x="0" y="0"/>
                      <a:ext cx="2377440" cy="5292634"/>
                    </a:xfrm>
                    <a:prstGeom prst="rect"/>
                  </pic:spPr>
                </pic:pic>
              </a:graphicData>
            </a:graphic>
          </wp:inline>
        </w:drawing>
      </w:r>
    </w:p>
    <w:p>
      <w:pPr>
        <w:spacing w:before="0" w:after="240"/>
        <w:jc w:val="center"/>
      </w:pPr>
      <w:r>
        <w:rPr>
          <w:rFonts w:ascii="Calibri" w:hAnsi="Calibri"/>
          <w:i/>
          <w:color w:val="718096"/>
          <w:sz w:val="19"/>
        </w:rPr>
        <w:t>Figura 3: Pantalla de Perfil de Usuario (ProfileScreen) con Bloqueo de DNI/Universidad y Foto Personalizada.</w:t>
      </w:r>
    </w:p>
    <w:p>
      <w:pPr>
        <w:spacing w:before="160" w:after="80"/>
        <w:jc w:val="center"/>
      </w:pPr>
      <w:r>
        <w:drawing>
          <wp:inline xmlns:a="http://schemas.openxmlformats.org/drawingml/2006/main" xmlns:pic="http://schemas.openxmlformats.org/drawingml/2006/picture">
            <wp:extent cx="2377440" cy="5292634"/>
            <wp:docPr id="5" name="Picture 5"/>
            <wp:cNvGraphicFramePr>
              <a:graphicFrameLocks noChangeAspect="1"/>
            </wp:cNvGraphicFramePr>
            <a:graphic>
              <a:graphicData uri="http://schemas.openxmlformats.org/drawingml/2006/picture">
                <pic:pic>
                  <pic:nvPicPr>
                    <pic:cNvPr id="0" name="screen_qa4.png"/>
                    <pic:cNvPicPr/>
                  </pic:nvPicPr>
                  <pic:blipFill>
                    <a:blip r:embed="rId13"/>
                    <a:stretch>
                      <a:fillRect/>
                    </a:stretch>
                  </pic:blipFill>
                  <pic:spPr>
                    <a:xfrm>
                      <a:off x="0" y="0"/>
                      <a:ext cx="2377440" cy="5292634"/>
                    </a:xfrm>
                    <a:prstGeom prst="rect"/>
                  </pic:spPr>
                </pic:pic>
              </a:graphicData>
            </a:graphic>
          </wp:inline>
        </w:drawing>
      </w:r>
    </w:p>
    <w:p>
      <w:pPr>
        <w:spacing w:before="0" w:after="240"/>
        <w:jc w:val="center"/>
      </w:pPr>
      <w:r>
        <w:rPr>
          <w:rFonts w:ascii="Calibri" w:hAnsi="Calibri"/>
          <w:i/>
          <w:color w:val="718096"/>
          <w:sz w:val="19"/>
        </w:rPr>
        <w:t>Figura 4: Preferencias de Radar GPS (5km, 15km, 30km), Switch de Alertas y Botón de Re-escaneo de Carnet.</w:t>
      </w:r>
    </w:p>
    <w:p>
      <w:pPr>
        <w:pStyle w:val="Heading1"/>
        <w:keepNext/>
        <w:spacing w:before="360" w:after="120"/>
      </w:pPr>
      <w:r>
        <w:rPr>
          <w:rFonts w:ascii="Calibri" w:hAnsi="Calibri"/>
          <w:b/>
          <w:color w:val="1A365D"/>
          <w:sz w:val="32"/>
        </w:rPr>
        <w:t>11. CONCLUSIONES Y TRABAJO FUTURO</w:t>
      </w:r>
    </w:p>
    <w:p>
      <w:pPr>
        <w:spacing w:before="0" w:after="120" w:line="276" w:lineRule="auto"/>
        <w:jc w:val="both"/>
      </w:pPr>
      <w:r>
        <w:rPr>
          <w:rFonts w:ascii="Calibri" w:hAnsi="Calibri"/>
          <w:color w:val="2D3748"/>
          <w:sz w:val="22"/>
        </w:rPr>
        <w:t>La versión 1.2.4 de EstudiHambres (CampusPass) demuestra la viabilidad técnica, pedagógica y de seguridad de una solución móvil nativa para optimizar el gasto de los universitarios peruanos. La combinación de Clean Architecture, Jetpack Compose, procesamiento on-device con Google ML Kit y blindaje de identidad institucional establece una plataforma altamente desacoplada, testeable y resistente a fraudes.</w:t>
      </w:r>
    </w:p>
    <w:p>
      <w:pPr>
        <w:spacing w:before="0" w:after="120" w:line="276" w:lineRule="auto"/>
        <w:jc w:val="both"/>
      </w:pPr>
      <w:r>
        <w:rPr>
          <w:rFonts w:ascii="Calibri" w:hAnsi="Calibri"/>
          <w:color w:val="2D3748"/>
          <w:sz w:val="22"/>
        </w:rPr>
        <w:t>Como líneas futuras de trabajo para versiones posteriores (v2.0) se contempla:</w:t>
      </w:r>
    </w:p>
    <w:p>
      <w:pPr>
        <w:pStyle w:val="ListBullet"/>
        <w:spacing w:before="0" w:after="80" w:line="276" w:lineRule="auto"/>
        <w:jc w:val="both"/>
      </w:pPr>
      <w:r>
        <w:rPr>
          <w:rFonts w:ascii="Calibri" w:hAnsi="Calibri"/>
          <w:color w:val="2D3748"/>
          <w:sz w:val="22"/>
        </w:rPr>
        <w:t>Sincronización remota mediante backend REST/GraphQL en Kotlin Ktor o Spring Boot con base de datos PostgreSQL.</w:t>
      </w:r>
    </w:p>
    <w:p>
      <w:pPr>
        <w:pStyle w:val="ListBullet"/>
        <w:spacing w:before="0" w:after="80" w:line="276" w:lineRule="auto"/>
        <w:jc w:val="both"/>
      </w:pPr>
      <w:r>
        <w:rPr>
          <w:rFonts w:ascii="Calibri" w:hAnsi="Calibri"/>
          <w:color w:val="2D3748"/>
          <w:sz w:val="22"/>
        </w:rPr>
        <w:t>Integración con la API pública de SUNEDU para contraste biométrico o validación de código QR oficial del carnet.</w:t>
      </w:r>
    </w:p>
    <w:p>
      <w:pPr>
        <w:pStyle w:val="ListBullet"/>
        <w:spacing w:before="0" w:after="80" w:line="276" w:lineRule="auto"/>
        <w:jc w:val="both"/>
      </w:pPr>
      <w:r>
        <w:rPr>
          <w:rFonts w:ascii="Calibri" w:hAnsi="Calibri"/>
          <w:color w:val="2D3748"/>
          <w:sz w:val="22"/>
        </w:rPr>
        <w:t>Módulo de canje mediante código QR dinámico de un solo uso (TOTP) para comercios físicos aliados.</w:t>
      </w:r>
    </w:p>
    <w:p>
      <w:pPr>
        <w:pStyle w:val="ListBullet"/>
        <w:spacing w:before="0" w:after="80" w:line="276" w:lineRule="auto"/>
        <w:jc w:val="both"/>
      </w:pPr>
      <w:r>
        <w:rPr>
          <w:rFonts w:ascii="Calibri" w:hAnsi="Calibri"/>
          <w:color w:val="2D3748"/>
          <w:sz w:val="22"/>
        </w:rPr>
        <w:t>Implementación de notificaciones push de alta prioridad con Firebase Cloud Messaging (FCM) al ingresar al radio de 200m.</w:t>
      </w:r>
    </w:p>
    <w:p>
      <w:pPr>
        <w:pStyle w:val="Heading1"/>
        <w:keepNext/>
        <w:spacing w:before="360" w:after="120"/>
      </w:pPr>
      <w:r>
        <w:rPr>
          <w:rFonts w:ascii="Calibri" w:hAnsi="Calibri"/>
          <w:b/>
          <w:color w:val="1A365D"/>
          <w:sz w:val="32"/>
        </w:rPr>
        <w:t>12. REFERENCIAS BIBLIOGRÁFICAS (NORMA ISO 690:2010)</w:t>
      </w:r>
    </w:p>
    <w:p>
      <w:pPr>
        <w:spacing w:before="0" w:after="120" w:line="276" w:lineRule="auto"/>
        <w:jc w:val="both"/>
      </w:pPr>
      <w:r>
        <w:rPr>
          <w:rFonts w:ascii="Calibri" w:hAnsi="Calibri"/>
          <w:color w:val="2D3748"/>
          <w:sz w:val="22"/>
        </w:rPr>
        <w:t>El presente compendio bibliográfico cumple rigurosamente las directrices internacionales establecidas en la norma ISO 690:2010 (Información y documentación — Directrices para la redacción de referencias bibliográficas y de citas de recursos de información) [17]:</w:t>
      </w:r>
    </w:p>
    <w:p>
      <w:pPr>
        <w:spacing w:before="40" w:after="120" w:line="276" w:lineRule="auto"/>
        <w:jc w:val="both"/>
      </w:pPr>
      <w:r>
        <w:rPr>
          <w:rFonts w:ascii="Calibri" w:hAnsi="Calibri"/>
          <w:b/>
          <w:color w:val="1A365D"/>
          <w:sz w:val="20"/>
        </w:rPr>
        <w:t xml:space="preserve">[1] </w:t>
      </w:r>
      <w:r>
        <w:rPr>
          <w:rFonts w:ascii="Calibri" w:hAnsi="Calibri"/>
          <w:color w:val="2D3748"/>
          <w:sz w:val="20"/>
        </w:rPr>
        <w:t>PERÚ. CONGRESO DE LA REPÚBLICA. Ley Universitaria Nº 30220. Diario Oficial El Peruano, 9 de julio de 2014, año XXXI, no. 12903, pp. 527213-527233.</w:t>
      </w:r>
    </w:p>
    <w:p>
      <w:pPr>
        <w:spacing w:before="40" w:after="120" w:line="276" w:lineRule="auto"/>
        <w:jc w:val="both"/>
      </w:pPr>
      <w:r>
        <w:rPr>
          <w:rFonts w:ascii="Calibri" w:hAnsi="Calibri"/>
          <w:b/>
          <w:color w:val="1A365D"/>
          <w:sz w:val="20"/>
        </w:rPr>
        <w:t xml:space="preserve">[2] </w:t>
      </w:r>
      <w:r>
        <w:rPr>
          <w:rFonts w:ascii="Calibri" w:hAnsi="Calibri"/>
          <w:color w:val="2D3748"/>
          <w:sz w:val="20"/>
        </w:rPr>
        <w:t>SUPERINTENDENCIA NACIONAL DE EDUCACIÓN SUPERIOR UNIVERSITARIA (SUNEDU). Reglamento del Carné Universitario expedido por la SUNEDU: Resolución del Consejo Directivo Nº 012-2023-SUNEDU/CD [en línea]. Lima: SUNEDU, 2023 [consulta: 1 de octubre de 2026]. Disponible en: &lt;https://www.sunedu.gob.pe&gt;.</w:t>
      </w:r>
    </w:p>
    <w:p>
      <w:pPr>
        <w:spacing w:before="40" w:after="120" w:line="276" w:lineRule="auto"/>
        <w:jc w:val="both"/>
      </w:pPr>
      <w:r>
        <w:rPr>
          <w:rFonts w:ascii="Calibri" w:hAnsi="Calibri"/>
          <w:b/>
          <w:color w:val="1A365D"/>
          <w:sz w:val="20"/>
        </w:rPr>
        <w:t xml:space="preserve">[3] </w:t>
      </w:r>
      <w:r>
        <w:rPr>
          <w:rFonts w:ascii="Calibri" w:hAnsi="Calibri"/>
          <w:color w:val="2D3748"/>
          <w:sz w:val="20"/>
        </w:rPr>
        <w:t>GOOGLE LLC. Android Developers: Guía de arquitectura de apps en Android [en línea]. Mountain View: Google LLC, 2024 [consulta: 1 de octubre de 2026]. Disponible en: &lt;https://developer.android.com/topic/architecture&gt;.</w:t>
      </w:r>
    </w:p>
    <w:p>
      <w:pPr>
        <w:spacing w:before="40" w:after="120" w:line="276" w:lineRule="auto"/>
        <w:jc w:val="both"/>
      </w:pPr>
      <w:r>
        <w:rPr>
          <w:rFonts w:ascii="Calibri" w:hAnsi="Calibri"/>
          <w:b/>
          <w:color w:val="1A365D"/>
          <w:sz w:val="20"/>
        </w:rPr>
        <w:t xml:space="preserve">[4] </w:t>
      </w:r>
      <w:r>
        <w:rPr>
          <w:rFonts w:ascii="Calibri" w:hAnsi="Calibri"/>
          <w:color w:val="2D3748"/>
          <w:sz w:val="20"/>
        </w:rPr>
        <w:t>GOOGLE LLC. ML Kit for Android: Text Recognition v2 on-device [en línea]. Mountain View: Google LLC, 2024 [consulta: 1 de octubre de 2026]. Disponible en: &lt;https://developers.google.com/ml-kit/vision/text-recognition/android&gt;.</w:t>
      </w:r>
    </w:p>
    <w:p>
      <w:pPr>
        <w:spacing w:before="40" w:after="120" w:line="276" w:lineRule="auto"/>
        <w:jc w:val="both"/>
      </w:pPr>
      <w:r>
        <w:rPr>
          <w:rFonts w:ascii="Calibri" w:hAnsi="Calibri"/>
          <w:b/>
          <w:color w:val="1A365D"/>
          <w:sz w:val="20"/>
        </w:rPr>
        <w:t xml:space="preserve">[5] </w:t>
      </w:r>
      <w:r>
        <w:rPr>
          <w:rFonts w:ascii="Calibri" w:hAnsi="Calibri"/>
          <w:color w:val="2D3748"/>
          <w:sz w:val="20"/>
        </w:rPr>
        <w:t>GOOGLE LLC. CameraX Architecture and Implementation Guide [en línea]. Mountain View: Google LLC, 2024 [consulta: 1 de octubre de 2026]. Disponible en: &lt;https://developer.android.com/training/camerax&gt;.</w:t>
      </w:r>
    </w:p>
    <w:p>
      <w:pPr>
        <w:spacing w:before="40" w:after="120" w:line="276" w:lineRule="auto"/>
        <w:jc w:val="both"/>
      </w:pPr>
      <w:r>
        <w:rPr>
          <w:rFonts w:ascii="Calibri" w:hAnsi="Calibri"/>
          <w:b/>
          <w:color w:val="1A365D"/>
          <w:sz w:val="20"/>
        </w:rPr>
        <w:t xml:space="preserve">[6] </w:t>
      </w:r>
      <w:r>
        <w:rPr>
          <w:rFonts w:ascii="Calibri" w:hAnsi="Calibri"/>
          <w:color w:val="2D3748"/>
          <w:sz w:val="20"/>
        </w:rPr>
        <w:t>SINNOTT, Roger W. Virtues of the Haversine. Sky and Telescope, 1984, vol. 68, no. 2, p. 159. ISSN 0037-6604.</w:t>
      </w:r>
    </w:p>
    <w:p>
      <w:pPr>
        <w:spacing w:before="40" w:after="120" w:line="276" w:lineRule="auto"/>
        <w:jc w:val="both"/>
      </w:pPr>
      <w:r>
        <w:rPr>
          <w:rFonts w:ascii="Calibri" w:hAnsi="Calibri"/>
          <w:b/>
          <w:color w:val="1A365D"/>
          <w:sz w:val="20"/>
        </w:rPr>
        <w:t xml:space="preserve">[7] </w:t>
      </w:r>
      <w:r>
        <w:rPr>
          <w:rFonts w:ascii="Calibri" w:hAnsi="Calibri"/>
          <w:color w:val="2D3748"/>
          <w:sz w:val="20"/>
        </w:rPr>
        <w:t>GOOGLE LLC. Android Developers: Intents and Intent Filters [en línea]. Mountain View: Google LLC, 2024 [consulta: 1 de octubre de 2026]. Disponible en: &lt;https://developer.android.com/guide/components/intents-filters&gt;.</w:t>
      </w:r>
    </w:p>
    <w:p>
      <w:pPr>
        <w:spacing w:before="40" w:after="120" w:line="276" w:lineRule="auto"/>
        <w:jc w:val="both"/>
      </w:pPr>
      <w:r>
        <w:rPr>
          <w:rFonts w:ascii="Calibri" w:hAnsi="Calibri"/>
          <w:b/>
          <w:color w:val="1A365D"/>
          <w:sz w:val="20"/>
        </w:rPr>
        <w:t xml:space="preserve">[8] </w:t>
      </w:r>
      <w:r>
        <w:rPr>
          <w:rFonts w:ascii="Calibri" w:hAnsi="Calibri"/>
          <w:color w:val="2D3748"/>
          <w:sz w:val="20"/>
        </w:rPr>
        <w:t>GOOGLE LLC. Material Design 3 for Jetpack Compose: Menus and Exposed Dropdown Menu Box [en línea]. Mountain View: Google LLC, 2024 [consulta: 1 de octubre de 2026]. Disponible en: &lt;https://m3.material.io&gt;.</w:t>
      </w:r>
    </w:p>
    <w:p>
      <w:pPr>
        <w:spacing w:before="40" w:after="120" w:line="276" w:lineRule="auto"/>
        <w:jc w:val="both"/>
      </w:pPr>
      <w:r>
        <w:rPr>
          <w:rFonts w:ascii="Calibri" w:hAnsi="Calibri"/>
          <w:b/>
          <w:color w:val="1A365D"/>
          <w:sz w:val="20"/>
        </w:rPr>
        <w:t xml:space="preserve">[9] </w:t>
      </w:r>
      <w:r>
        <w:rPr>
          <w:rFonts w:ascii="Calibri" w:hAnsi="Calibri"/>
          <w:color w:val="2D3748"/>
          <w:sz w:val="20"/>
        </w:rPr>
        <w:t>INTERNATIONAL ORGANIZATION FOR STANDARDIZATION. ISO/IEC 7810:2019 Identification cards — Physical characteristics. Ginebra: ISO, 2019.</w:t>
      </w:r>
    </w:p>
    <w:p>
      <w:pPr>
        <w:spacing w:before="40" w:after="120" w:line="276" w:lineRule="auto"/>
        <w:jc w:val="both"/>
      </w:pPr>
      <w:r>
        <w:rPr>
          <w:rFonts w:ascii="Calibri" w:hAnsi="Calibri"/>
          <w:b/>
          <w:color w:val="1A365D"/>
          <w:sz w:val="20"/>
        </w:rPr>
        <w:t xml:space="preserve">[10] </w:t>
      </w:r>
      <w:r>
        <w:rPr>
          <w:rFonts w:ascii="Calibri" w:hAnsi="Calibri"/>
          <w:color w:val="2D3748"/>
          <w:sz w:val="20"/>
        </w:rPr>
        <w:t>MARTIN, Robert C. Clean Architecture: A Craftsman's Guide to Software Structure and Design. Boston: Prentice Hall, 2017. ISBN 978-0134494166.</w:t>
      </w:r>
    </w:p>
    <w:p>
      <w:pPr>
        <w:spacing w:before="40" w:after="120" w:line="276" w:lineRule="auto"/>
        <w:jc w:val="both"/>
      </w:pPr>
      <w:r>
        <w:rPr>
          <w:rFonts w:ascii="Calibri" w:hAnsi="Calibri"/>
          <w:b/>
          <w:color w:val="1A365D"/>
          <w:sz w:val="20"/>
        </w:rPr>
        <w:t xml:space="preserve">[11] </w:t>
      </w:r>
      <w:r>
        <w:rPr>
          <w:rFonts w:ascii="Calibri" w:hAnsi="Calibri"/>
          <w:color w:val="2D3748"/>
          <w:sz w:val="20"/>
        </w:rPr>
        <w:t>ELIZAROV, Roman. Reactive Streams and Kotlin Flow. KotlinConf 2019 [en línea]. Copenhague: JetBrains, 2019 [consulta: 1 de octubre de 2026]. Disponible en: &lt;https://kotlinlang.org/docs/flow.html&gt;.</w:t>
      </w:r>
    </w:p>
    <w:p>
      <w:pPr>
        <w:spacing w:before="40" w:after="120" w:line="276" w:lineRule="auto"/>
        <w:jc w:val="both"/>
      </w:pPr>
      <w:r>
        <w:rPr>
          <w:rFonts w:ascii="Calibri" w:hAnsi="Calibri"/>
          <w:b/>
          <w:color w:val="1A365D"/>
          <w:sz w:val="20"/>
        </w:rPr>
        <w:t xml:space="preserve">[12] </w:t>
      </w:r>
      <w:r>
        <w:rPr>
          <w:rFonts w:ascii="Calibri" w:hAnsi="Calibri"/>
          <w:color w:val="2D3748"/>
          <w:sz w:val="20"/>
        </w:rPr>
        <w:t>JETBRAINS N.V. The Kotlin Programming Language Specification: Kotlin 2.0 Reference [en línea]. Praga: JetBrains, 2024 [consulta: 1 de octubre de 2026]. Disponible en: &lt;https://kotlinlang.org&gt;.</w:t>
      </w:r>
    </w:p>
    <w:p>
      <w:pPr>
        <w:spacing w:before="40" w:after="120" w:line="276" w:lineRule="auto"/>
        <w:jc w:val="both"/>
      </w:pPr>
      <w:r>
        <w:rPr>
          <w:rFonts w:ascii="Calibri" w:hAnsi="Calibri"/>
          <w:b/>
          <w:color w:val="1A365D"/>
          <w:sz w:val="20"/>
        </w:rPr>
        <w:t xml:space="preserve">[13] </w:t>
      </w:r>
      <w:r>
        <w:rPr>
          <w:rFonts w:ascii="Calibri" w:hAnsi="Calibri"/>
          <w:color w:val="2D3748"/>
          <w:sz w:val="20"/>
        </w:rPr>
        <w:t>SEEMANN, Mark. Dependency Injection Principles, Practices, and Patterns. Shelter Island: Manning Publications, 2019. ISBN 978-1617294730.</w:t>
      </w:r>
    </w:p>
    <w:p>
      <w:pPr>
        <w:spacing w:before="40" w:after="120" w:line="276" w:lineRule="auto"/>
        <w:jc w:val="both"/>
      </w:pPr>
      <w:r>
        <w:rPr>
          <w:rFonts w:ascii="Calibri" w:hAnsi="Calibri"/>
          <w:b/>
          <w:color w:val="1A365D"/>
          <w:sz w:val="20"/>
        </w:rPr>
        <w:t xml:space="preserve">[14] </w:t>
      </w:r>
      <w:r>
        <w:rPr>
          <w:rFonts w:ascii="Calibri" w:hAnsi="Calibri"/>
          <w:color w:val="2D3748"/>
          <w:sz w:val="20"/>
        </w:rPr>
        <w:t>GRADLE INC. Gradle Build Tool User Manual: Version Catalogs [en línea]. San Francisco: Gradle Inc., 2024 [consulta: 1 de octubre de 2026]. Disponible en: &lt;https://docs.gradle.org&gt;.</w:t>
      </w:r>
    </w:p>
    <w:p>
      <w:pPr>
        <w:spacing w:before="40" w:after="120" w:line="276" w:lineRule="auto"/>
        <w:jc w:val="both"/>
      </w:pPr>
      <w:r>
        <w:rPr>
          <w:rFonts w:ascii="Calibri" w:hAnsi="Calibri"/>
          <w:b/>
          <w:color w:val="1A365D"/>
          <w:sz w:val="20"/>
        </w:rPr>
        <w:t xml:space="preserve">[15] </w:t>
      </w:r>
      <w:r>
        <w:rPr>
          <w:rFonts w:ascii="Calibri" w:hAnsi="Calibri"/>
          <w:color w:val="2D3748"/>
          <w:sz w:val="20"/>
        </w:rPr>
        <w:t>GOOGLE MAPS PLATFORM. Google Maps Compose Library for Android [en línea]. Mountain View: Google LLC, 2024 [consulta: 1 de octubre de 2026]. Disponible en: &lt;https://github.com/googlemaps/android-maps-compose&gt;.</w:t>
      </w:r>
    </w:p>
    <w:p>
      <w:pPr>
        <w:spacing w:before="40" w:after="120" w:line="276" w:lineRule="auto"/>
        <w:jc w:val="both"/>
      </w:pPr>
      <w:r>
        <w:rPr>
          <w:rFonts w:ascii="Calibri" w:hAnsi="Calibri"/>
          <w:b/>
          <w:color w:val="1A365D"/>
          <w:sz w:val="20"/>
        </w:rPr>
        <w:t xml:space="preserve">[16] </w:t>
      </w:r>
      <w:r>
        <w:rPr>
          <w:rFonts w:ascii="Calibri" w:hAnsi="Calibri"/>
          <w:color w:val="2D3748"/>
          <w:sz w:val="20"/>
        </w:rPr>
        <w:t>BECK, Kent. Test-Driven Development: By Example. Boston: Addison-Wesley Professional, 2002. ISBN 978-0321146533.</w:t>
      </w:r>
    </w:p>
    <w:p>
      <w:pPr>
        <w:spacing w:before="40" w:after="120" w:line="276" w:lineRule="auto"/>
        <w:jc w:val="both"/>
      </w:pPr>
      <w:r>
        <w:rPr>
          <w:rFonts w:ascii="Calibri" w:hAnsi="Calibri"/>
          <w:b/>
          <w:color w:val="1A365D"/>
          <w:sz w:val="20"/>
        </w:rPr>
        <w:t xml:space="preserve">[17] </w:t>
      </w:r>
      <w:r>
        <w:rPr>
          <w:rFonts w:ascii="Calibri" w:hAnsi="Calibri"/>
          <w:color w:val="2D3748"/>
          <w:sz w:val="20"/>
        </w:rPr>
        <w:t>INTERNATIONAL ORGANIZATION FOR STANDARDIZATION. ISO 690:2010 Information and documentation — Guidelines for bibliographic references and citations to information resources. 3ª ed. Ginebra: ISO, 2010.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