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2B6CB0"/>
          <w:sz w:val="24"/>
        </w:rPr>
        <w:t>PROYECTO DE INNOVACIÓN TECNOLÓGICA MÓVIL UNIVERSITARIA</w:t>
      </w:r>
    </w:p>
    <w:p>
      <w:pPr>
        <w:spacing w:before="0" w:after="480"/>
        <w:jc w:val="center"/>
      </w:pPr>
      <w:r>
        <w:rPr>
          <w:rFonts w:ascii="Calibri" w:hAnsi="Calibri"/>
          <w:color w:val="718096"/>
          <w:sz w:val="20"/>
        </w:rPr>
        <w:t>INGENIERÍA DE SISTEMAS E INFORMÁTICA</w:t>
      </w:r>
    </w:p>
    <w:p>
      <w:pPr>
        <w:spacing w:after="400"/>
        <w:jc w:val="center"/>
      </w:pPr>
      <w:r>
        <w:drawing>
          <wp:inline xmlns:a="http://schemas.openxmlformats.org/drawingml/2006/main" xmlns:pic="http://schemas.openxmlformats.org/drawingml/2006/picture">
            <wp:extent cx="2011680" cy="1096208"/>
            <wp:docPr id="1" name="Picture 1"/>
            <wp:cNvGraphicFramePr>
              <a:graphicFrameLocks noChangeAspect="1"/>
            </wp:cNvGraphicFramePr>
            <a:graphic>
              <a:graphicData uri="http://schemas.openxmlformats.org/drawingml/2006/picture">
                <pic:pic>
                  <pic:nvPicPr>
                    <pic:cNvPr id="0" name="app_logo.png"/>
                    <pic:cNvPicPr/>
                  </pic:nvPicPr>
                  <pic:blipFill>
                    <a:blip r:embed="rId9"/>
                    <a:stretch>
                      <a:fillRect/>
                    </a:stretch>
                  </pic:blipFill>
                  <pic:spPr>
                    <a:xfrm>
                      <a:off x="0" y="0"/>
                      <a:ext cx="2011680" cy="1096208"/>
                    </a:xfrm>
                    <a:prstGeom prst="rect"/>
                  </pic:spPr>
                </pic:pic>
              </a:graphicData>
            </a:graphic>
          </wp:inline>
        </w:drawing>
      </w:r>
    </w:p>
    <w:p>
      <w:pPr>
        <w:spacing w:before="160" w:after="160"/>
        <w:jc w:val="center"/>
      </w:pPr>
      <w:r>
        <w:rPr>
          <w:rFonts w:ascii="Calibri" w:hAnsi="Calibri"/>
          <w:b/>
          <w:color w:val="1A365D"/>
          <w:sz w:val="48"/>
        </w:rPr>
        <w:t>DOCUMENTACIÓN TÉCNICA Y ARQUITECTÓNICA DEL SISTEMA</w:t>
      </w:r>
    </w:p>
    <w:p>
      <w:pPr>
        <w:spacing w:before="0" w:after="240"/>
        <w:jc w:val="center"/>
      </w:pPr>
      <w:r>
        <w:rPr>
          <w:rFonts w:ascii="Calibri" w:hAnsi="Calibri"/>
          <w:b/>
          <w:color w:val="2B6CB0"/>
          <w:sz w:val="40"/>
        </w:rPr>
        <w:t>ESTUDIHAMBRES (CAMPUSPASS)</w:t>
      </w:r>
    </w:p>
    <w:p>
      <w:pPr>
        <w:spacing w:before="80" w:after="720"/>
        <w:jc w:val="center"/>
      </w:pPr>
      <w:r>
        <w:rPr>
          <w:rFonts w:ascii="Calibri" w:hAnsi="Calibri"/>
          <w:i/>
          <w:color w:val="2D3748"/>
          <w:sz w:val="24"/>
        </w:rPr>
        <w:t>Plataforma Nativa Android de Beneficios Universitarios, Verificación Inteligente de Carnet mediante OCR y Radar de Convenios por Proximidad</w:t>
      </w:r>
    </w:p>
    <w:p>
      <w:pPr>
        <w:spacing w:before="480" w:after="80"/>
        <w:jc w:val="center"/>
      </w:pPr>
      <w:r>
        <w:rPr>
          <w:rFonts w:ascii="Calibri" w:hAnsi="Calibri"/>
          <w:b/>
          <w:sz w:val="22"/>
        </w:rPr>
        <w:t xml:space="preserve">Versión del Software: </w:t>
      </w:r>
      <w:r>
        <w:rPr>
          <w:rFonts w:ascii="Calibri" w:hAnsi="Calibri"/>
        </w:rPr>
        <w:t>1.2.0 (Build 3) — Versión Estable de Producción</w:t>
        <w:br/>
      </w:r>
      <w:r>
        <w:rPr>
          <w:rFonts w:ascii="Calibri" w:hAnsi="Calibri"/>
          <w:b/>
          <w:sz w:val="22"/>
        </w:rPr>
        <w:t xml:space="preserve">Fecha de Publicación: </w:t>
      </w:r>
      <w:r>
        <w:rPr>
          <w:rFonts w:ascii="Calibri" w:hAnsi="Calibri"/>
        </w:rPr>
        <w:t>Octubre de 2026</w:t>
        <w:br/>
      </w:r>
      <w:r>
        <w:rPr>
          <w:rFonts w:ascii="Calibri" w:hAnsi="Calibri"/>
          <w:b/>
          <w:sz w:val="22"/>
        </w:rPr>
        <w:t xml:space="preserve">Normativa de Referenciación Documental: </w:t>
      </w:r>
      <w:r>
        <w:rPr>
          <w:rFonts w:ascii="Calibri" w:hAnsi="Calibri"/>
        </w:rPr>
        <w:t>Normas ISO 690:2010 (Sistema de Referencias Numéricas)</w:t>
        <w:br/>
      </w:r>
      <w:r>
        <w:rPr>
          <w:rFonts w:ascii="Calibri" w:hAnsi="Calibri"/>
          <w:b/>
          <w:sz w:val="22"/>
        </w:rPr>
        <w:t xml:space="preserve">Repositorio Oficial: </w:t>
      </w:r>
      <w:r>
        <w:rPr>
          <w:rFonts w:ascii="Calibri" w:hAnsi="Calibri"/>
        </w:rPr>
        <w:t>https://github.com/MFCC2/EstudiHambres (Rama: develop)</w:t>
        <w:br/>
      </w:r>
    </w:p>
    <w:p>
      <w:r>
        <w:br w:type="page"/>
      </w:r>
    </w:p>
    <w:p>
      <w:pPr>
        <w:pStyle w:val="Heading1"/>
        <w:keepNext/>
        <w:spacing w:before="360" w:after="120"/>
      </w:pPr>
      <w:r>
        <w:rPr>
          <w:rFonts w:ascii="Calibri" w:hAnsi="Calibri"/>
          <w:b/>
          <w:color w:val="1A365D"/>
          <w:sz w:val="32"/>
        </w:rPr>
        <w:t>ÍNDICE DE CONTENIDOS</w:t>
      </w:r>
    </w:p>
    <w:tbl>
      <w:tblPr>
        <w:tblW w:type="auto" w:w="0"/>
        <w:jc w:val="center"/>
        <w:tblLayout w:type="fixed"/>
        <w:tblLook w:firstColumn="1" w:firstRow="1" w:lastColumn="0" w:lastRow="0" w:noHBand="0" w:noVBand="1" w:val="04A0"/>
      </w:tblPr>
      <w:tblGrid>
        <w:gridCol w:w="4680"/>
        <w:gridCol w:w="4680"/>
      </w:tblGrid>
      <w:tr>
        <w:tc>
          <w:tcPr>
            <w:tcW w:type="dxa" w:w="8352"/>
            <w:tcMar>
              <w:top w:w="40" w:type="dxa"/>
              <w:bottom w:w="40" w:type="dxa"/>
              <w:left w:w="40" w:type="dxa"/>
              <w:right w:w="40" w:type="dxa"/>
            </w:tcMar>
          </w:tcPr>
          <w:p>
            <w:pPr>
              <w:spacing w:before="40" w:after="40"/>
            </w:pPr>
            <w:r>
              <w:rPr>
                <w:rFonts w:ascii="Calibri" w:hAnsi="Calibri"/>
                <w:color w:val="1A365D"/>
                <w:sz w:val="21"/>
              </w:rPr>
              <w:t>1. Resumen Ejecutivo y Planteamiento del Problema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3</w:t>
            </w:r>
          </w:p>
        </w:tc>
      </w:tr>
      <w:tr>
        <w:tc>
          <w:tcPr>
            <w:tcW w:type="dxa" w:w="8352"/>
            <w:tcMar>
              <w:top w:w="40" w:type="dxa"/>
              <w:bottom w:w="40" w:type="dxa"/>
              <w:left w:w="40" w:type="dxa"/>
              <w:right w:w="40" w:type="dxa"/>
            </w:tcMar>
          </w:tcPr>
          <w:p>
            <w:pPr>
              <w:spacing w:before="40" w:after="40"/>
            </w:pPr>
            <w:r>
              <w:rPr>
                <w:rFonts w:ascii="Calibri" w:hAnsi="Calibri"/>
                <w:color w:val="1A365D"/>
                <w:sz w:val="21"/>
              </w:rPr>
              <w:t>2. Objetivos del Proyecto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4</w:t>
            </w:r>
          </w:p>
        </w:tc>
      </w:tr>
      <w:tr>
        <w:tc>
          <w:tcPr>
            <w:tcW w:type="dxa" w:w="8352"/>
            <w:tcMar>
              <w:top w:w="40" w:type="dxa"/>
              <w:bottom w:w="40" w:type="dxa"/>
              <w:left w:w="40" w:type="dxa"/>
              <w:right w:w="40" w:type="dxa"/>
            </w:tcMar>
          </w:tcPr>
          <w:p>
            <w:pPr>
              <w:spacing w:before="40" w:after="40"/>
            </w:pPr>
            <w:r>
              <w:rPr>
                <w:rFonts w:ascii="Calibri" w:hAnsi="Calibri"/>
                <w:color w:val="1A365D"/>
                <w:sz w:val="21"/>
              </w:rPr>
              <w:t>3. Flujo de Negocio y Modelo Operativo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5</w:t>
            </w:r>
          </w:p>
        </w:tc>
      </w:tr>
      <w:tr>
        <w:tc>
          <w:tcPr>
            <w:tcW w:type="dxa" w:w="8352"/>
            <w:tcMar>
              <w:top w:w="40" w:type="dxa"/>
              <w:bottom w:w="40" w:type="dxa"/>
              <w:left w:w="40" w:type="dxa"/>
              <w:right w:w="40" w:type="dxa"/>
            </w:tcMar>
          </w:tcPr>
          <w:p>
            <w:pPr>
              <w:spacing w:before="40" w:after="40"/>
            </w:pPr>
            <w:r>
              <w:rPr>
                <w:rFonts w:ascii="Calibri" w:hAnsi="Calibri"/>
                <w:color w:val="1A365D"/>
                <w:sz w:val="21"/>
              </w:rPr>
              <w:t>4. Arquitectura de Software y Patrones de Diseño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7</w:t>
            </w:r>
          </w:p>
        </w:tc>
      </w:tr>
      <w:tr>
        <w:tc>
          <w:tcPr>
            <w:tcW w:type="dxa" w:w="8352"/>
            <w:tcMar>
              <w:top w:w="40" w:type="dxa"/>
              <w:bottom w:w="40" w:type="dxa"/>
              <w:left w:w="40" w:type="dxa"/>
              <w:right w:w="40" w:type="dxa"/>
            </w:tcMar>
          </w:tcPr>
          <w:p>
            <w:pPr>
              <w:spacing w:before="40" w:after="40"/>
            </w:pPr>
            <w:r>
              <w:rPr>
                <w:rFonts w:ascii="Calibri" w:hAnsi="Calibri"/>
                <w:color w:val="1A365D"/>
                <w:sz w:val="21"/>
              </w:rPr>
              <w:t>5. Lenguaje de Programación y Paradigmas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9</w:t>
            </w:r>
          </w:p>
        </w:tc>
      </w:tr>
      <w:tr>
        <w:tc>
          <w:tcPr>
            <w:tcW w:type="dxa" w:w="8352"/>
            <w:tcMar>
              <w:top w:w="40" w:type="dxa"/>
              <w:bottom w:w="40" w:type="dxa"/>
              <w:left w:w="40" w:type="dxa"/>
              <w:right w:w="40" w:type="dxa"/>
            </w:tcMar>
          </w:tcPr>
          <w:p>
            <w:pPr>
              <w:spacing w:before="40" w:after="40"/>
            </w:pPr>
            <w:r>
              <w:rPr>
                <w:rFonts w:ascii="Calibri" w:hAnsi="Calibri"/>
                <w:color w:val="1A365D"/>
                <w:sz w:val="21"/>
              </w:rPr>
              <w:t>6. Librerías Destacadas y Frameworks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10</w:t>
            </w:r>
          </w:p>
        </w:tc>
      </w:tr>
      <w:tr>
        <w:tc>
          <w:tcPr>
            <w:tcW w:type="dxa" w:w="8352"/>
            <w:tcMar>
              <w:top w:w="40" w:type="dxa"/>
              <w:bottom w:w="40" w:type="dxa"/>
              <w:left w:w="40" w:type="dxa"/>
              <w:right w:w="40" w:type="dxa"/>
            </w:tcMar>
          </w:tcPr>
          <w:p>
            <w:pPr>
              <w:spacing w:before="40" w:after="40"/>
            </w:pPr>
            <w:r>
              <w:rPr>
                <w:rFonts w:ascii="Calibri" w:hAnsi="Calibri"/>
                <w:color w:val="1A365D"/>
                <w:sz w:val="21"/>
              </w:rPr>
              <w:t>7. Integración de APIs y Servicios de Plataforma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12</w:t>
            </w:r>
          </w:p>
        </w:tc>
      </w:tr>
      <w:tr>
        <w:tc>
          <w:tcPr>
            <w:tcW w:type="dxa" w:w="8352"/>
            <w:tcMar>
              <w:top w:w="40" w:type="dxa"/>
              <w:bottom w:w="40" w:type="dxa"/>
              <w:left w:w="40" w:type="dxa"/>
              <w:right w:w="40" w:type="dxa"/>
            </w:tcMar>
          </w:tcPr>
          <w:p>
            <w:pPr>
              <w:spacing w:before="40" w:after="40"/>
            </w:pPr>
            <w:r>
              <w:rPr>
                <w:rFonts w:ascii="Calibri" w:hAnsi="Calibri"/>
                <w:color w:val="1A365D"/>
                <w:sz w:val="21"/>
              </w:rPr>
              <w:t>8. Módulos y Funcionalidades del Sistema (v1.2.0)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14</w:t>
            </w:r>
          </w:p>
        </w:tc>
      </w:tr>
      <w:tr>
        <w:tc>
          <w:tcPr>
            <w:tcW w:type="dxa" w:w="8352"/>
            <w:tcMar>
              <w:top w:w="40" w:type="dxa"/>
              <w:bottom w:w="40" w:type="dxa"/>
              <w:left w:w="40" w:type="dxa"/>
              <w:right w:w="40" w:type="dxa"/>
            </w:tcMar>
          </w:tcPr>
          <w:p>
            <w:pPr>
              <w:spacing w:before="40" w:after="40"/>
            </w:pPr>
            <w:r>
              <w:rPr>
                <w:rFonts w:ascii="Calibri" w:hAnsi="Calibri"/>
                <w:color w:val="1A365D"/>
                <w:sz w:val="21"/>
              </w:rPr>
              <w:t>9. Plan de Aseguramiento de la Calidad (QA) y Pruebas Unitarias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19</w:t>
            </w:r>
          </w:p>
        </w:tc>
      </w:tr>
      <w:tr>
        <w:tc>
          <w:tcPr>
            <w:tcW w:type="dxa" w:w="8352"/>
            <w:tcMar>
              <w:top w:w="40" w:type="dxa"/>
              <w:bottom w:w="40" w:type="dxa"/>
              <w:left w:w="40" w:type="dxa"/>
              <w:right w:w="40" w:type="dxa"/>
            </w:tcMar>
          </w:tcPr>
          <w:p>
            <w:pPr>
              <w:spacing w:before="40" w:after="40"/>
            </w:pPr>
            <w:r>
              <w:rPr>
                <w:rFonts w:ascii="Calibri" w:hAnsi="Calibri"/>
                <w:color w:val="1A365D"/>
                <w:sz w:val="21"/>
              </w:rPr>
              <w:t>10. Identidad de Marca y Recursos Visuales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21</w:t>
            </w:r>
          </w:p>
        </w:tc>
      </w:tr>
      <w:tr>
        <w:tc>
          <w:tcPr>
            <w:tcW w:type="dxa" w:w="8352"/>
            <w:tcMar>
              <w:top w:w="40" w:type="dxa"/>
              <w:bottom w:w="40" w:type="dxa"/>
              <w:left w:w="40" w:type="dxa"/>
              <w:right w:w="40" w:type="dxa"/>
            </w:tcMar>
          </w:tcPr>
          <w:p>
            <w:pPr>
              <w:spacing w:before="40" w:after="40"/>
            </w:pPr>
            <w:r>
              <w:rPr>
                <w:rFonts w:ascii="Calibri" w:hAnsi="Calibri"/>
                <w:color w:val="1A365D"/>
                <w:sz w:val="21"/>
              </w:rPr>
              <w:t>11. Conclusiones y Trabajo Futuro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22</w:t>
            </w:r>
          </w:p>
        </w:tc>
      </w:tr>
      <w:tr>
        <w:tc>
          <w:tcPr>
            <w:tcW w:type="dxa" w:w="8352"/>
            <w:tcMar>
              <w:top w:w="40" w:type="dxa"/>
              <w:bottom w:w="40" w:type="dxa"/>
              <w:left w:w="40" w:type="dxa"/>
              <w:right w:w="40" w:type="dxa"/>
            </w:tcMar>
          </w:tcPr>
          <w:p>
            <w:pPr>
              <w:spacing w:before="40" w:after="40"/>
            </w:pPr>
            <w:r>
              <w:rPr>
                <w:rFonts w:ascii="Calibri" w:hAnsi="Calibri"/>
                <w:color w:val="1A365D"/>
                <w:sz w:val="21"/>
              </w:rPr>
              <w:t>12. Referencias Bibliográficas (Norma ISO 690:2010)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23</w:t>
            </w:r>
          </w:p>
        </w:tc>
      </w:tr>
    </w:tbl>
    <w:p>
      <w:r>
        <w:br w:type="page"/>
      </w:r>
    </w:p>
    <w:p>
      <w:pPr>
        <w:pStyle w:val="Heading1"/>
        <w:keepNext/>
        <w:spacing w:before="360" w:after="120"/>
      </w:pPr>
      <w:r>
        <w:rPr>
          <w:rFonts w:ascii="Calibri" w:hAnsi="Calibri"/>
          <w:b/>
          <w:color w:val="1A365D"/>
          <w:sz w:val="32"/>
        </w:rPr>
        <w:t>1. RESUMEN EJECUTIVO Y PLANTEAMIENTO DEL PROBLEMA</w:t>
      </w:r>
    </w:p>
    <w:p>
      <w:pPr>
        <w:spacing w:before="0" w:after="120" w:line="276" w:lineRule="auto"/>
        <w:jc w:val="both"/>
      </w:pPr>
      <w:r>
        <w:rPr>
          <w:rFonts w:ascii="Calibri" w:hAnsi="Calibri"/>
          <w:color w:val="2D3748"/>
          <w:sz w:val="22"/>
        </w:rPr>
        <w:t>En el contexto de la educación universitaria en el Perú, los estudiantes enfrentan limitaciones económicas significativas vinculadas a los costos diarios de alimentación, transporte y herramientas académicas digitales. Si bien la Ley Universitaria Nº 30220 [1] consagra beneficios legales como el medio pasaje en el transporte público mediante la emisión del carnet universitario oficial expedido por la Superintendencia Nacional de Educación Superior Universitaria (SUNEDU) [2], existe una fragmentación sustancial en el acceso a convenios comerciales privados, descuentos gastronómicos y licencias de software formativo.</w:t>
      </w:r>
    </w:p>
    <w:p>
      <w:pPr>
        <w:spacing w:before="0" w:after="120" w:line="276" w:lineRule="auto"/>
        <w:jc w:val="both"/>
      </w:pPr>
      <w:r>
        <w:rPr>
          <w:rFonts w:ascii="Calibri" w:hAnsi="Calibri"/>
          <w:color w:val="2D3748"/>
          <w:sz w:val="22"/>
        </w:rPr>
        <w:t>La problemática actual radica en tres factores críticos: primero, la ausencia de una plataforma centralizada que agrupe de forma georreferenciada los establecimientos aliados cercanos a los recintos universitarios; segundo, la dificultad de los comercios para validar ágilmente la condición de estudiante activo sin requerir procesos burocráticos en físico; y tercero, la falta de difusión estructurada de los beneficios digitales globales (tales como GitHub Student Developer Pack, Spotify Student o Notion for Education) que los estudiantes frecuentemente desconocen.</w:t>
      </w:r>
    </w:p>
    <w:p>
      <w:pPr>
        <w:spacing w:before="0" w:after="120" w:line="276" w:lineRule="auto"/>
        <w:jc w:val="both"/>
      </w:pPr>
      <w:r>
        <w:rPr>
          <w:rFonts w:ascii="Calibri" w:hAnsi="Calibri"/>
          <w:color w:val="2D3748"/>
          <w:sz w:val="22"/>
        </w:rPr>
        <w:t>Para responder a esta necesidad, nace EstudiHambres (CampusPass), una aplicación móvil nativa para el ecosistema Android diseñada bajo los principios de Clean Architecture y Jetpack Compose [3]. La versión 1.2.0 consolida un sistema integral que incorpora: autenticación con validación de correo institucional (.edu.pe), verificación inteligente del carnet universitario mediante visión artificial en el dispositivo (Google ML Kit OCR y CameraX) [4, 5], radar geográfico esférico de 30 km basado en la fórmula matemática del Haversine [6], catálogo multisección con carruseles horizontales, apertura de enlaces oficiales vía Android Intents [7], y un panel de gestión de perfil de usuario con persistencia local.</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HITO DE ENTREGA VERSION 1.2.0: </w:t>
            </w:r>
            <w:r>
              <w:rPr>
                <w:rFonts w:ascii="Calibri" w:hAnsi="Calibri"/>
                <w:color w:val="2D3748"/>
                <w:sz w:val="20"/>
              </w:rPr>
              <w:t>La versión 1.2.0 introduce el nuevo módulo ProfileScreen, la integración de la mascota oficial 'Mapache Mamey' (Bibliotecario Raccoon), y una batería exhaustiva de 84 pruebas unitarias automatizadas con 100% de aprobación.</w:t>
            </w:r>
          </w:p>
        </w:tc>
      </w:tr>
    </w:tbl>
    <w:p>
      <w:pPr>
        <w:spacing w:before="0" w:after="80"/>
      </w:pPr>
    </w:p>
    <w:p>
      <w:pPr>
        <w:pStyle w:val="Heading1"/>
        <w:keepNext/>
        <w:spacing w:before="360" w:after="120"/>
      </w:pPr>
      <w:r>
        <w:rPr>
          <w:rFonts w:ascii="Calibri" w:hAnsi="Calibri"/>
          <w:b/>
          <w:color w:val="1A365D"/>
          <w:sz w:val="32"/>
        </w:rPr>
        <w:t>2. OBJETIVOS DEL PROYECTO</w:t>
      </w:r>
    </w:p>
    <w:p>
      <w:pPr>
        <w:pStyle w:val="Heading2"/>
        <w:keepNext/>
        <w:spacing w:before="280" w:after="80"/>
      </w:pPr>
      <w:r>
        <w:rPr>
          <w:rFonts w:ascii="Calibri" w:hAnsi="Calibri"/>
          <w:b/>
          <w:color w:val="2B6CB0"/>
          <w:sz w:val="26"/>
        </w:rPr>
        <w:t>2.1 Objetivo General</w:t>
      </w:r>
    </w:p>
    <w:p>
      <w:pPr>
        <w:spacing w:before="0" w:after="120" w:line="276" w:lineRule="auto"/>
        <w:jc w:val="both"/>
      </w:pPr>
      <w:r>
        <w:rPr>
          <w:rFonts w:ascii="Calibri" w:hAnsi="Calibri"/>
          <w:color w:val="2D3748"/>
          <w:sz w:val="22"/>
        </w:rPr>
        <w:t>Desarrollar una aplicación móvil nativa en plataforma Android (versión 1.2.0) que democratice, centralice y agilice el acceso a promociones gastronómicas, servicios de transporte y herramientas digitales educativas para estudiantes universitarios peruanos, garantizando validación fehaciente mediante procesamiento óptico de carnets y localización espacial de comercios en un radio de hasta 30 kilómetros.</w:t>
      </w:r>
    </w:p>
    <w:p>
      <w:pPr>
        <w:pStyle w:val="Heading2"/>
        <w:keepNext/>
        <w:spacing w:before="280" w:after="80"/>
      </w:pPr>
      <w:r>
        <w:rPr>
          <w:rFonts w:ascii="Calibri" w:hAnsi="Calibri"/>
          <w:b/>
          <w:color w:val="2B6CB0"/>
          <w:sz w:val="26"/>
        </w:rPr>
        <w:t>2.2 Objetivos Específicos</w:t>
      </w:r>
    </w:p>
    <w:p>
      <w:pPr>
        <w:pStyle w:val="ListBullet"/>
        <w:spacing w:before="0" w:after="80" w:line="276" w:lineRule="auto"/>
        <w:jc w:val="both"/>
      </w:pPr>
      <w:r>
        <w:rPr>
          <w:rFonts w:ascii="Calibri" w:hAnsi="Calibri"/>
          <w:color w:val="2D3748"/>
          <w:sz w:val="22"/>
        </w:rPr>
        <w:t>Implementar un flujo de autenticación seguro que valide credenciales académicas, correos institucionales de universidades peruanas (.edu.pe) y formatos de Documento Nacional de Identidad (DNI) de 8 dígitos numéricos.</w:t>
      </w:r>
    </w:p>
    <w:p>
      <w:pPr>
        <w:pStyle w:val="ListBullet"/>
        <w:spacing w:before="0" w:after="80" w:line="276" w:lineRule="auto"/>
        <w:jc w:val="both"/>
      </w:pPr>
      <w:r>
        <w:rPr>
          <w:rFonts w:ascii="Calibri" w:hAnsi="Calibri"/>
          <w:color w:val="2D3748"/>
          <w:sz w:val="22"/>
        </w:rPr>
        <w:t>Integrar un subsistema embebido de captura de imagen con CameraX y reconocimiento óptico de caracteres (OCR) con Google ML Kit para escanear y validar instantáneamente el carnet universitario oficial SUNEDU sin salir de la interfaz.</w:t>
      </w:r>
    </w:p>
    <w:p>
      <w:pPr>
        <w:pStyle w:val="ListBullet"/>
        <w:spacing w:before="0" w:after="80" w:line="276" w:lineRule="auto"/>
        <w:jc w:val="both"/>
      </w:pPr>
      <w:r>
        <w:rPr>
          <w:rFonts w:ascii="Calibri" w:hAnsi="Calibri"/>
          <w:color w:val="2D3748"/>
          <w:sz w:val="22"/>
        </w:rPr>
        <w:t>Construir un tablero principal (HomeScreen) con diseño moderno Material 3 que exhiba métricas de ahorro acumulado, carruseles horizontales de ofertas destacadas, beneficios de proximidad y software tecnológico educativo.</w:t>
      </w:r>
    </w:p>
    <w:p>
      <w:pPr>
        <w:pStyle w:val="ListBullet"/>
        <w:spacing w:before="0" w:after="80" w:line="276" w:lineRule="auto"/>
        <w:jc w:val="both"/>
      </w:pPr>
      <w:r>
        <w:rPr>
          <w:rFonts w:ascii="Calibri" w:hAnsi="Calibri"/>
          <w:color w:val="2D3748"/>
          <w:sz w:val="22"/>
        </w:rPr>
        <w:t>Desarrollar un radar de convenios geolocalizado a 30 km con Google Maps Compose y Google Play Services Location, dotado de un mecanismo de respaldo (fallback) con visualización de listado interactivo y coordenadas reales de locales comerciales en Cusco y Lima.</w:t>
      </w:r>
    </w:p>
    <w:p>
      <w:pPr>
        <w:pStyle w:val="ListBullet"/>
        <w:spacing w:before="0" w:after="80" w:line="276" w:lineRule="auto"/>
        <w:jc w:val="both"/>
      </w:pPr>
      <w:r>
        <w:rPr>
          <w:rFonts w:ascii="Calibri" w:hAnsi="Calibri"/>
          <w:color w:val="2D3748"/>
          <w:sz w:val="22"/>
        </w:rPr>
        <w:t>Proveer un módulo de configuración de perfil (ProfileScreen) para la edición de datos estudiantiles, selección de radio de búsqueda y preferencias de alertas, con persistencia garantizada en SessionManager.</w:t>
      </w:r>
    </w:p>
    <w:p>
      <w:pPr>
        <w:pStyle w:val="ListBullet"/>
        <w:spacing w:before="0" w:after="80" w:line="276" w:lineRule="auto"/>
        <w:jc w:val="both"/>
      </w:pPr>
      <w:r>
        <w:rPr>
          <w:rFonts w:ascii="Calibri" w:hAnsi="Calibri"/>
          <w:color w:val="2D3748"/>
          <w:sz w:val="22"/>
        </w:rPr>
        <w:t>Ejecutar un marco riguroso de aseguramiento de calidad (QA) compuesto por más de 50 casos de prueba unitaria automatizados para certificar la fiabilidad y resiliencia del software ante cualquier escenario de uso.</w:t>
      </w:r>
    </w:p>
    <w:p>
      <w:pPr>
        <w:pStyle w:val="Heading1"/>
        <w:keepNext/>
        <w:spacing w:before="360" w:after="120"/>
      </w:pPr>
      <w:r>
        <w:rPr>
          <w:rFonts w:ascii="Calibri" w:hAnsi="Calibri"/>
          <w:b/>
          <w:color w:val="1A365D"/>
          <w:sz w:val="32"/>
        </w:rPr>
        <w:t>3. FLUJO DE NEGOCIO Y MODELO OPERATIVO</w:t>
      </w:r>
    </w:p>
    <w:p>
      <w:pPr>
        <w:spacing w:before="0" w:after="120" w:line="276" w:lineRule="auto"/>
        <w:jc w:val="both"/>
      </w:pPr>
      <w:r>
        <w:rPr>
          <w:rFonts w:ascii="Calibri" w:hAnsi="Calibri"/>
          <w:color w:val="2D3748"/>
          <w:sz w:val="22"/>
        </w:rPr>
        <w:t>El modelo operativo de EstudiHambres modela las interacciones entre el estudiante universitario, los comercios aliados y los proveedores globales de beneficios educativos. El ciclo de vida de uso se estructura en seis fases secuenciales:</w:t>
      </w:r>
    </w:p>
    <w:p>
      <w:pPr>
        <w:pStyle w:val="Heading2"/>
        <w:keepNext/>
        <w:spacing w:before="280" w:after="80"/>
      </w:pPr>
      <w:r>
        <w:rPr>
          <w:rFonts w:ascii="Calibri" w:hAnsi="Calibri"/>
          <w:b/>
          <w:color w:val="2B6CB0"/>
          <w:sz w:val="26"/>
        </w:rPr>
        <w:t>Fase 1: Onboarding y Registro Estudiantil</w:t>
      </w:r>
    </w:p>
    <w:p>
      <w:pPr>
        <w:spacing w:before="0" w:after="120" w:line="276" w:lineRule="auto"/>
        <w:jc w:val="both"/>
      </w:pPr>
      <w:r>
        <w:rPr>
          <w:rFonts w:ascii="Calibri" w:hAnsi="Calibri"/>
          <w:color w:val="2D3748"/>
          <w:sz w:val="22"/>
        </w:rPr>
        <w:t>El estudiante accede a la pantalla de registro (RegisterScreen), ingresando su nombre completo, DNI (8 dígitos), código universitario, correo institucional y universidad de procedencia. La aplicación cuenta con un componente ExposedDropdownMenuBox con autocompletado en tiempo real que sugiere las principales universidades peruanas (Universidad Continental, PUCP, UNMSM, UNI, UPC, UTEC, USMP, UNSAAC, etc.) [8]. La contraseña debe poseer al menos 6 caracteres. Asimismo, se incluye un botón 'Acceso Directo (Bypass Dev)' para agilizar pruebas locales y revisiones de cátedra.</w:t>
      </w:r>
    </w:p>
    <w:p>
      <w:pPr>
        <w:pStyle w:val="Heading2"/>
        <w:keepNext/>
        <w:spacing w:before="280" w:after="80"/>
      </w:pPr>
      <w:r>
        <w:rPr>
          <w:rFonts w:ascii="Calibri" w:hAnsi="Calibri"/>
          <w:b/>
          <w:color w:val="2B6CB0"/>
          <w:sz w:val="26"/>
        </w:rPr>
        <w:t>Fase 2: Verificación de Carnet Universitario (OCR Inteligente)</w:t>
      </w:r>
    </w:p>
    <w:p>
      <w:pPr>
        <w:spacing w:before="0" w:after="120" w:line="276" w:lineRule="auto"/>
        <w:jc w:val="both"/>
      </w:pPr>
      <w:r>
        <w:rPr>
          <w:rFonts w:ascii="Calibri" w:hAnsi="Calibri"/>
          <w:color w:val="2D3748"/>
          <w:sz w:val="22"/>
        </w:rPr>
        <w:t>A fin de desbloquear los beneficios oficiales, el estudiante es guiado a StudentVerificationScreen. Mediante CameraX, la app despliega una cámara embebida con un visor delimitador (CardScannerOverlay) en formato estándar ID-1 (85.60 mm x 53.98 mm) [9]. El motor de visión por computadora ML Kit procesa los fotogramas en streaming. Al encuadrar el documento, el caso de uso ParseStudentCardOcrUseCase extrae palabras clave oficiales ('SUNEDU', 'UNIVERSIDAD', 'REPÚBLICA DEL PERÚ'), verifica el año de vigencia (2025-2027) y obtiene nombres, DNI y carrera de forma automática. Si el alumno no porta su carnet físico al momento, puede pulsar 'Omitir por ahora', ingresando con estado PENDING_VERIFICATION sin bloquear su experiencia.</w:t>
      </w:r>
    </w:p>
    <w:p>
      <w:pPr>
        <w:pStyle w:val="Heading2"/>
        <w:keepNext/>
        <w:spacing w:before="280" w:after="80"/>
      </w:pPr>
      <w:r>
        <w:rPr>
          <w:rFonts w:ascii="Calibri" w:hAnsi="Calibri"/>
          <w:b/>
          <w:color w:val="2B6CB0"/>
          <w:sz w:val="26"/>
        </w:rPr>
        <w:t>Fase 3: Dashboard de Ahorro y Catálogo por Carruseles</w:t>
      </w:r>
    </w:p>
    <w:p>
      <w:pPr>
        <w:spacing w:before="0" w:after="120" w:line="276" w:lineRule="auto"/>
        <w:jc w:val="both"/>
      </w:pPr>
      <w:r>
        <w:rPr>
          <w:rFonts w:ascii="Calibri" w:hAnsi="Calibri"/>
          <w:color w:val="2D3748"/>
          <w:sz w:val="22"/>
        </w:rPr>
        <w:t>En HomeScreen, el estudiante visualiza su saludo personalizado, el estado de verificación y el widget de 'Ahorro Acumulado' (e.g., S/ 142.50). El feed se divide en carruseles especializados (LazyRow):</w:t>
      </w:r>
    </w:p>
    <w:p>
      <w:pPr>
        <w:pStyle w:val="ListBullet"/>
        <w:spacing w:before="0" w:after="80" w:line="276" w:lineRule="auto"/>
        <w:jc w:val="both"/>
      </w:pPr>
      <w:r>
        <w:rPr>
          <w:rFonts w:ascii="Calibri" w:hAnsi="Calibri"/>
          <w:color w:val="2D3748"/>
          <w:sz w:val="22"/>
        </w:rPr>
        <w:t>Para ti (Más Populares): Convenios destacados de consumo masivo (Bembos 2x1, Spotify Student, Starbucks).</w:t>
      </w:r>
    </w:p>
    <w:p>
      <w:pPr>
        <w:pStyle w:val="ListBullet"/>
        <w:spacing w:before="0" w:after="80" w:line="276" w:lineRule="auto"/>
        <w:jc w:val="both"/>
      </w:pPr>
      <w:r>
        <w:rPr>
          <w:rFonts w:ascii="Calibri" w:hAnsi="Calibri"/>
          <w:color w:val="2D3748"/>
          <w:sz w:val="22"/>
        </w:rPr>
        <w:t>Cerca de tu campus: Establecimientos gastronómicos geolocalizados con distancia en metros y tiempo de caminata estimado.</w:t>
      </w:r>
    </w:p>
    <w:p>
      <w:pPr>
        <w:pStyle w:val="ListBullet"/>
        <w:spacing w:before="0" w:after="80" w:line="276" w:lineRule="auto"/>
        <w:jc w:val="both"/>
      </w:pPr>
      <w:r>
        <w:rPr>
          <w:rFonts w:ascii="Calibri" w:hAnsi="Calibri"/>
          <w:color w:val="2D3748"/>
          <w:sz w:val="22"/>
        </w:rPr>
        <w:t>Beneficios Virtuales &amp; Tech: Software educativo (Notion Education Plus, GitHub Student Developer Pack, Figma for Education) con licencia 100% gratuita.</w:t>
      </w:r>
    </w:p>
    <w:p>
      <w:pPr>
        <w:pStyle w:val="Heading2"/>
        <w:keepNext/>
        <w:spacing w:before="280" w:after="80"/>
      </w:pPr>
      <w:r>
        <w:rPr>
          <w:rFonts w:ascii="Calibri" w:hAnsi="Calibri"/>
          <w:b/>
          <w:color w:val="2B6CB0"/>
          <w:sz w:val="26"/>
        </w:rPr>
        <w:t>Fase 4: Radar Geográfico de Convenios a 30 km</w:t>
      </w:r>
    </w:p>
    <w:p>
      <w:pPr>
        <w:spacing w:before="0" w:after="120" w:line="276" w:lineRule="auto"/>
        <w:jc w:val="both"/>
      </w:pPr>
      <w:r>
        <w:rPr>
          <w:rFonts w:ascii="Calibri" w:hAnsi="Calibri"/>
          <w:color w:val="2D3748"/>
          <w:sz w:val="22"/>
        </w:rPr>
        <w:t>A través de MapScreen, el estudiante activa el radar geográfico. La aplicación solicita permisos de ubicación en tiempo real (ACCESS_FINE_LOCATION) y calcula la distancia esférica hacia cada punto comercial afiliado utilizando la fórmula de Haversine [6]. Si el usuario cuenta con Google Maps API Key, visualiza un mapa satelital interactivo con pines personalizados y un BottomSheet modal. En ausencia de API Key o señal GPS, la app ofrece un botón flotante 'Modo Lista / Modo Mapa' que despliega una lista detallada de 9 locales reales (Cusco y Lima) con distancias calculadas, calificaciones y badges de descuento.</w:t>
      </w:r>
    </w:p>
    <w:p>
      <w:pPr>
        <w:pStyle w:val="Heading2"/>
        <w:keepNext/>
        <w:spacing w:before="280" w:after="80"/>
      </w:pPr>
      <w:r>
        <w:rPr>
          <w:rFonts w:ascii="Calibri" w:hAnsi="Calibri"/>
          <w:b/>
          <w:color w:val="2B6CB0"/>
          <w:sz w:val="26"/>
        </w:rPr>
        <w:t>Fase 5: Redirección Oficial a Portales Aliados</w:t>
      </w:r>
    </w:p>
    <w:p>
      <w:pPr>
        <w:spacing w:before="0" w:after="120" w:line="276" w:lineRule="auto"/>
        <w:jc w:val="both"/>
      </w:pPr>
      <w:r>
        <w:rPr>
          <w:rFonts w:ascii="Calibri" w:hAnsi="Calibri"/>
          <w:color w:val="2D3748"/>
          <w:sz w:val="22"/>
        </w:rPr>
        <w:t>Al seleccionar un beneficio digital o comercial, el estudiante puede pulsar 'Activar beneficio' o 'Ir al beneficio'. La aplicación dispara un Intent implícito de Android (Intent.ACTION_VIEW con Uri seguro https://) que abre el navegador nativo en las URLs oficiales (spotify.com/pe-es/student/, notion.so/product/notion-for-education, education.github.com/pack) evitando intermediarios inseguros [7].</w:t>
      </w:r>
    </w:p>
    <w:p>
      <w:pPr>
        <w:pStyle w:val="Heading2"/>
        <w:keepNext/>
        <w:spacing w:before="280" w:after="80"/>
      </w:pPr>
      <w:r>
        <w:rPr>
          <w:rFonts w:ascii="Calibri" w:hAnsi="Calibri"/>
          <w:b/>
          <w:color w:val="2B6CB0"/>
          <w:sz w:val="26"/>
        </w:rPr>
        <w:t>Fase 6: Configuración del Perfil y Gestión de Sesión</w:t>
      </w:r>
    </w:p>
    <w:p>
      <w:pPr>
        <w:spacing w:before="0" w:after="120" w:line="276" w:lineRule="auto"/>
        <w:jc w:val="both"/>
      </w:pPr>
      <w:r>
        <w:rPr>
          <w:rFonts w:ascii="Calibri" w:hAnsi="Calibri"/>
          <w:color w:val="2D3748"/>
          <w:sz w:val="22"/>
        </w:rPr>
        <w:t>Desde la barra superior, el avatar del carnet o el menú inferior, el estudiante ingresa a ProfileScreen. Puede ajustar su carrera, modificar sus datos personales, alternar el radio de búsqueda (5 km, 15 km o 30 km), activar alertas por proximidad y cerrar su sesión de manera segura, limpiando la pila de navegación.</w:t>
      </w:r>
    </w:p>
    <w:p>
      <w:pPr>
        <w:pStyle w:val="Heading1"/>
        <w:keepNext/>
        <w:spacing w:before="360" w:after="120"/>
      </w:pPr>
      <w:r>
        <w:rPr>
          <w:rFonts w:ascii="Calibri" w:hAnsi="Calibri"/>
          <w:b/>
          <w:color w:val="1A365D"/>
          <w:sz w:val="32"/>
        </w:rPr>
        <w:t>4. ARQUITECTURA DE SOFTWARE Y PATRONES DE DISEÑO</w:t>
      </w:r>
    </w:p>
    <w:p>
      <w:pPr>
        <w:spacing w:before="0" w:after="120" w:line="276" w:lineRule="auto"/>
        <w:jc w:val="both"/>
      </w:pPr>
      <w:r>
        <w:rPr>
          <w:rFonts w:ascii="Calibri" w:hAnsi="Calibri"/>
          <w:color w:val="2D3748"/>
          <w:sz w:val="22"/>
        </w:rPr>
        <w:t>EstudiHambres implementa Clean Architecture según las directrices promovidas por Robert C. Martin [10] y las recomendaciones oficiales para el desarrollo moderno en Android emitidas por Google [3]. El código se organiza en cuatro capas claramente desacopladas:</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Capa Arquitectónica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Paquete Java/Kotlin</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Responsabilidad y Componentes Clave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Fundamentos transversales: sistema de navegación declarativa (AppNavGraph, Screen), diseño visual y paleta temática (Theme, Color, Type, Shape), utilidades de sesión (SessionManager) y constantes globales (Constants).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Corazón del negocio independiente de frameworks de UI: entidades de dominio (StudentUser, Place, Promotion, StudentCardOcrResult), contratos de repositorio e interfaces de casos de uso (FilterPlacesByDistanceUseCase, ParseStudentCardOcrUseCase, ValidateStudentCredentialsUseCase).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Manejo y persistencia de fuentes de información: repositorios concretos (MockPlaceRepository, MockPromotionRepositoryImpl, PlayServicesLocationRepositoryImpl) y modelos locales de datos (PlaceLocal, CouponLocal).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Capa de presentación reactiva con Jetpack Compose y ViewModels (AuthViewModel, HomeViewModel, MapViewModel, ProfileViewModel, StudentVerificationViewModel).</w:t>
            </w:r>
          </w:p>
        </w:tc>
      </w:tr>
    </w:tbl>
    <w:p>
      <w:pPr>
        <w:pStyle w:val="Heading2"/>
        <w:keepNext/>
        <w:spacing w:before="280" w:after="80"/>
      </w:pPr>
      <w:r>
        <w:rPr>
          <w:rFonts w:ascii="Calibri" w:hAnsi="Calibri"/>
          <w:b/>
          <w:color w:val="2B6CB0"/>
          <w:sz w:val="26"/>
        </w:rPr>
        <w:t>4.1 Patrón MVI/MVVM con Flujo Unidireccional de Datos (UDF)</w:t>
      </w:r>
    </w:p>
    <w:p>
      <w:pPr>
        <w:spacing w:before="0" w:after="120" w:line="276" w:lineRule="auto"/>
        <w:jc w:val="both"/>
      </w:pPr>
      <w:r>
        <w:rPr>
          <w:rFonts w:ascii="Calibri" w:hAnsi="Calibri"/>
          <w:color w:val="2D3748"/>
          <w:sz w:val="22"/>
        </w:rPr>
        <w:t>Cada pantalla Compose observa un estado inmutable modelado mediante StateFlow o MutableStateFlow [11]. Los eventos de usuario (taps, inputs, clics en filtros) se transmiten en sentido ascendente hacia el ViewModel a través de funciones lambda, mientras que las mutaciones de estado descienden hacia los componentes composables, eliminando efectos secundarios impredecibles y facilitando la realización de pruebas unitarias automatizadas.</w:t>
      </w:r>
    </w:p>
    <w:p>
      <w:pPr>
        <w:pStyle w:val="Heading1"/>
        <w:keepNext/>
        <w:spacing w:before="360" w:after="120"/>
      </w:pPr>
      <w:r>
        <w:rPr>
          <w:rFonts w:ascii="Calibri" w:hAnsi="Calibri"/>
          <w:b/>
          <w:color w:val="1A365D"/>
          <w:sz w:val="32"/>
        </w:rPr>
        <w:t>5. LENGUAJE DE PROGRAMACIÓN Y PARADIGMAS</w:t>
      </w:r>
    </w:p>
    <w:p>
      <w:pPr>
        <w:spacing w:before="0" w:after="120" w:line="276" w:lineRule="auto"/>
        <w:jc w:val="both"/>
      </w:pPr>
      <w:r>
        <w:rPr>
          <w:rFonts w:ascii="Calibri" w:hAnsi="Calibri"/>
          <w:color w:val="2D3748"/>
          <w:sz w:val="22"/>
        </w:rPr>
        <w:t>El sistema está escrito íntegramente en Kotlin 2.0 (compilador K2), configurado con compatibilidad para JVM target 17 / 21 según los estándares de Android Gradle Plugin 8.9 [12]. Se eligió Kotlin debido a sus ventajas determinantes en ingeniería de software:</w:t>
      </w:r>
    </w:p>
    <w:p>
      <w:pPr>
        <w:pStyle w:val="ListBullet"/>
        <w:spacing w:before="0" w:after="80" w:line="276" w:lineRule="auto"/>
        <w:jc w:val="both"/>
      </w:pPr>
      <w:r>
        <w:rPr>
          <w:rFonts w:ascii="Calibri" w:hAnsi="Calibri"/>
          <w:color w:val="2D3748"/>
          <w:sz w:val="22"/>
        </w:rPr>
        <w:t>Seguridad contra nulos (Null Safety): Eliminación de NullPointerExceptions en tiempo de ejecución mediante tipos opcionales (?) y operadores Elvis (?:).</w:t>
      </w:r>
    </w:p>
    <w:p>
      <w:pPr>
        <w:pStyle w:val="ListBullet"/>
        <w:spacing w:before="0" w:after="80" w:line="276" w:lineRule="auto"/>
        <w:jc w:val="both"/>
      </w:pPr>
      <w:r>
        <w:rPr>
          <w:rFonts w:ascii="Calibri" w:hAnsi="Calibri"/>
          <w:color w:val="2D3748"/>
          <w:sz w:val="22"/>
        </w:rPr>
        <w:t>Corrutinas y Flujos Asíncronos (Kotlinx Coroutines &amp; Flow): Manejo reactivo y no bloqueante de operaciones de E/S, consultas de localización y lecturas de preferencias de sesión [13].</w:t>
      </w:r>
    </w:p>
    <w:p>
      <w:pPr>
        <w:pStyle w:val="ListBullet"/>
        <w:spacing w:before="0" w:after="80" w:line="276" w:lineRule="auto"/>
        <w:jc w:val="both"/>
      </w:pPr>
      <w:r>
        <w:rPr>
          <w:rFonts w:ascii="Calibri" w:hAnsi="Calibri"/>
          <w:color w:val="2D3748"/>
          <w:sz w:val="22"/>
        </w:rPr>
        <w:t>Clases de Datos (Data Classes) y Modelos Inmutables: Representación declarativa de entidades con soporte nativo de métodos copy(), equals() y hashCode().</w:t>
      </w:r>
    </w:p>
    <w:p>
      <w:pPr>
        <w:pStyle w:val="ListBullet"/>
        <w:spacing w:before="0" w:after="80" w:line="276" w:lineRule="auto"/>
        <w:jc w:val="both"/>
      </w:pPr>
      <w:r>
        <w:rPr>
          <w:rFonts w:ascii="Calibri" w:hAnsi="Calibri"/>
          <w:color w:val="2D3748"/>
          <w:sz w:val="22"/>
        </w:rPr>
        <w:t>Funciones de Extensión y Sintaxis Expresiva: Transformación idiomática entre modelos locales y entidades de dominio (.toDomain()).</w:t>
      </w:r>
    </w:p>
    <w:p>
      <w:pPr>
        <w:pStyle w:val="Heading1"/>
        <w:keepNext/>
        <w:spacing w:before="360" w:after="120"/>
      </w:pPr>
      <w:r>
        <w:rPr>
          <w:rFonts w:ascii="Calibri" w:hAnsi="Calibri"/>
          <w:b/>
          <w:color w:val="1A365D"/>
          <w:sz w:val="32"/>
        </w:rPr>
        <w:t>6. LIBRERÍAS DESTACADAS Y FRAMEWORKS</w:t>
      </w:r>
    </w:p>
    <w:p>
      <w:pPr>
        <w:spacing w:before="0" w:after="120" w:line="276" w:lineRule="auto"/>
        <w:jc w:val="both"/>
      </w:pPr>
      <w:r>
        <w:rPr>
          <w:rFonts w:ascii="Calibri" w:hAnsi="Calibri"/>
          <w:color w:val="2D3748"/>
          <w:sz w:val="22"/>
        </w:rPr>
        <w:t>A continuación se detallan las librerías oficiales de terceros y componentes de Jetpack integrados en el archivo de catálogo gradle/libs.versions.toml y app/build.gradle.kts [14]:</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Librería / Framework</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Identificador / Coordenada Gradle</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Propósito e Impacto en la App</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Compose UI &amp; BOM</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androidx.compose:compose-bom:2024.09.00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Base declarativa de renderizado reactivo y gestión de ciclo de vida visual.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Material Design 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androidx.compose.material3:material3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Implementación de tarjetas con esquinas redondeadas de 16.dp, TopAppBar, BottomBar y Chips.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Material Icons 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androidx.compose.material:material-icons-extended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Iconografía oficial completa: Scanner, Location, Person, ExitToApp, Visibility, School.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Navigation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androidx.navigation:navigation-compose:2.8.8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Enrutamiento tipo Single-Activity con paso seguro de argumentos y control de BackStack.</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CameraX Core &amp; View</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androidx.camera:camera-view:1.4.1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Cámara embebida en tiempo de ejecución con vinculación segura al ciclo de vida de la Activity.</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CameraX Lifecycle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androidx.camera:camera-lifecycle:1.4.1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Garantiza apertura y liberación inmediata del hardware óptico sin fugas de memoria.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ML Kit Text Recognition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com.google.android.gms:play-services-mlkit-text-recognition:19.0.1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Motor OCR On-Device que extrae texto de fotogramas sin consumir datos móviles ni nube [4].</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Google Maps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com.google.maps.android:maps-compose:6.4.1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Componentes composables para GoogleMap, Marker, CameraPositionState y controles gestuales [15].</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Play Services Location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com.google.android.gms:play-services-location:21.3.0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Cliente FusedLocationProviderClient para geolocalización de alta precisión.</w:t>
            </w:r>
          </w:p>
        </w:tc>
      </w:tr>
    </w:tbl>
    <w:p>
      <w:pPr>
        <w:pStyle w:val="Heading1"/>
        <w:keepNext/>
        <w:spacing w:before="360" w:after="120"/>
      </w:pPr>
      <w:r>
        <w:rPr>
          <w:rFonts w:ascii="Calibri" w:hAnsi="Calibri"/>
          <w:b/>
          <w:color w:val="1A365D"/>
          <w:sz w:val="32"/>
        </w:rPr>
        <w:t>7. INTEGRACIÓN DE APIS Y SERVICIOS DE PLATAFORMA</w:t>
      </w:r>
    </w:p>
    <w:p>
      <w:pPr>
        <w:pStyle w:val="Heading2"/>
        <w:keepNext/>
        <w:spacing w:before="280" w:after="80"/>
      </w:pPr>
      <w:r>
        <w:rPr>
          <w:rFonts w:ascii="Calibri" w:hAnsi="Calibri"/>
          <w:b/>
          <w:color w:val="2B6CB0"/>
          <w:sz w:val="26"/>
        </w:rPr>
        <w:t>7.1 Google Maps Android SDK y Maps Compose</w:t>
      </w:r>
    </w:p>
    <w:p>
      <w:pPr>
        <w:spacing w:before="0" w:after="120" w:line="276" w:lineRule="auto"/>
        <w:jc w:val="both"/>
      </w:pPr>
      <w:r>
        <w:rPr>
          <w:rFonts w:ascii="Calibri" w:hAnsi="Calibri"/>
          <w:color w:val="2D3748"/>
          <w:sz w:val="22"/>
        </w:rPr>
        <w:t>Se configuró la clave de API en AndroidManifest.xml mediante el metadato com.google.android.geo.API_KEY. Maps Compose permite instanciar GoogleMap dentro del árbol de composición de Compose, renderizando polígonos de cobertura, marcadores personalizados de restaurantes aliados y control de cámara centrado en coordenadas del campus universitario [15].</w:t>
      </w:r>
    </w:p>
    <w:p>
      <w:pPr>
        <w:pStyle w:val="Heading2"/>
        <w:keepNext/>
        <w:spacing w:before="280" w:after="80"/>
      </w:pPr>
      <w:r>
        <w:rPr>
          <w:rFonts w:ascii="Calibri" w:hAnsi="Calibri"/>
          <w:b/>
          <w:color w:val="2B6CB0"/>
          <w:sz w:val="26"/>
        </w:rPr>
        <w:t>7.2 Google Play Services Fused Location Provider API</w:t>
      </w:r>
    </w:p>
    <w:p>
      <w:pPr>
        <w:spacing w:before="0" w:after="120" w:line="276" w:lineRule="auto"/>
        <w:jc w:val="both"/>
      </w:pPr>
      <w:r>
        <w:rPr>
          <w:rFonts w:ascii="Calibri" w:hAnsi="Calibri"/>
          <w:color w:val="2D3748"/>
          <w:sz w:val="22"/>
        </w:rPr>
        <w:t>Implementado en PlayServicesLocationRepositoryImpl.kt, obtiene la última ubicación conocida del estudiante empleando PRIORITY_HIGH_ACCURACY. Se combinan señales de GPS, Wi-Fi y redes móviles para alimentar el caso de uso FilterPlacesByDistanceUseCase.</w:t>
      </w:r>
    </w:p>
    <w:p>
      <w:pPr>
        <w:pStyle w:val="Heading2"/>
        <w:keepNext/>
        <w:spacing w:before="280" w:after="80"/>
      </w:pPr>
      <w:r>
        <w:rPr>
          <w:rFonts w:ascii="Calibri" w:hAnsi="Calibri"/>
          <w:b/>
          <w:color w:val="2B6CB0"/>
          <w:sz w:val="26"/>
        </w:rPr>
        <w:t>7.3 Google ML Kit On-Device Vision API</w:t>
      </w:r>
    </w:p>
    <w:p>
      <w:pPr>
        <w:spacing w:before="0" w:after="120" w:line="276" w:lineRule="auto"/>
        <w:jc w:val="both"/>
      </w:pPr>
      <w:r>
        <w:rPr>
          <w:rFonts w:ascii="Calibri" w:hAnsi="Calibri"/>
          <w:color w:val="2D3748"/>
          <w:sz w:val="22"/>
        </w:rPr>
        <w:t>A diferencia de las APIs tradicionales basadas en la nube que requieren cuotas de facturación y conexión estable, el TextRecognition.getClient(TextRecognizerOptions.DEFAULT_OPTIONS) de Google ML Kit opera localmente en el chip neural/CPU del dispositivo móvil. Esto protege la privacidad de los carnets universitarios y asegura una latencia menor a 300 milisegundos [4].</w:t>
      </w:r>
    </w:p>
    <w:p>
      <w:pPr>
        <w:pStyle w:val="Heading2"/>
        <w:keepNext/>
        <w:spacing w:before="280" w:after="80"/>
      </w:pPr>
      <w:r>
        <w:rPr>
          <w:rFonts w:ascii="Calibri" w:hAnsi="Calibri"/>
          <w:b/>
          <w:color w:val="2B6CB0"/>
          <w:sz w:val="26"/>
        </w:rPr>
        <w:t>7.4 Protocolo de Redirección Oficial vía Android Intents</w:t>
      </w:r>
    </w:p>
    <w:p>
      <w:pPr>
        <w:spacing w:before="0" w:after="120" w:line="276" w:lineRule="auto"/>
        <w:jc w:val="both"/>
      </w:pPr>
      <w:r>
        <w:rPr>
          <w:rFonts w:ascii="Calibri" w:hAnsi="Calibri"/>
          <w:color w:val="2D3748"/>
          <w:sz w:val="22"/>
        </w:rPr>
        <w:t>Para canjear beneficios externos, la app utiliza el despachador de Intents del sistema operativo Android. Al hacer clic en 'Activar beneficio', se ejecuta Intent(Intent.ACTION_VIEW, Uri.parse(promotion.url)). Esto abre la tienda oficial o navegador web en enlaces legítimos verificados: Spotify Student, Notion Education, GitHub Student Developer Pack y Figma for Education [7].</w:t>
      </w:r>
    </w:p>
    <w:p>
      <w:pPr>
        <w:pStyle w:val="Heading1"/>
        <w:keepNext/>
        <w:spacing w:before="360" w:after="120"/>
      </w:pPr>
      <w:r>
        <w:rPr>
          <w:rFonts w:ascii="Calibri" w:hAnsi="Calibri"/>
          <w:b/>
          <w:color w:val="1A365D"/>
          <w:sz w:val="32"/>
        </w:rPr>
        <w:t>8. MÓDULOS Y FUNCIONALIDADES IMPLEMENTADAS EN VERSIÓN 1.2.0</w:t>
      </w:r>
    </w:p>
    <w:p>
      <w:pPr>
        <w:spacing w:before="0" w:after="120" w:line="276" w:lineRule="auto"/>
        <w:jc w:val="both"/>
      </w:pPr>
      <w:r>
        <w:rPr>
          <w:rFonts w:ascii="Calibri" w:hAnsi="Calibri"/>
          <w:color w:val="2D3748"/>
          <w:sz w:val="22"/>
        </w:rPr>
        <w:t>La versión 1.2.0 de EstudiHambres culmina la consolidación visual y funcional de la aplicación en 6 módulos principales:</w:t>
      </w:r>
    </w:p>
    <w:p>
      <w:pPr>
        <w:pStyle w:val="Heading2"/>
        <w:keepNext/>
        <w:spacing w:before="280" w:after="80"/>
      </w:pPr>
      <w:r>
        <w:rPr>
          <w:rFonts w:ascii="Calibri" w:hAnsi="Calibri"/>
          <w:b/>
          <w:color w:val="2B6CB0"/>
          <w:sz w:val="26"/>
        </w:rPr>
        <w:t>8.1 Módulo de Identidad e Inicio: Logo Oficial Mapache Mamey y LoginScreen</w:t>
      </w:r>
    </w:p>
    <w:p>
      <w:pPr>
        <w:pStyle w:val="ListBullet"/>
        <w:spacing w:before="0" w:after="80" w:line="276" w:lineRule="auto"/>
        <w:jc w:val="both"/>
      </w:pPr>
      <w:r>
        <w:rPr>
          <w:rFonts w:ascii="Calibri" w:hAnsi="Calibri"/>
          <w:color w:val="2D3748"/>
          <w:sz w:val="22"/>
        </w:rPr>
        <w:t>Ilustración Oficial 'Mapache Mamey': Representación visual de un mapache bibliotecario estudioso con lentes y delantal, integrado como icono de aplicación (@drawable/app_logo), avatar en AppBar y tarjeta de saludo.</w:t>
      </w:r>
    </w:p>
    <w:p>
      <w:pPr>
        <w:pStyle w:val="ListBullet"/>
        <w:spacing w:before="0" w:after="80" w:line="276" w:lineRule="auto"/>
        <w:jc w:val="both"/>
      </w:pPr>
      <w:r>
        <w:rPr>
          <w:rFonts w:ascii="Calibri" w:hAnsi="Calibri"/>
          <w:color w:val="2D3748"/>
          <w:sz w:val="22"/>
        </w:rPr>
        <w:t>Campos de Credenciales: Captura de correo universitario y contraseña con botones de visibilidad (Show/Hide Password).</w:t>
      </w:r>
    </w:p>
    <w:p>
      <w:pPr>
        <w:pStyle w:val="ListBullet"/>
        <w:spacing w:before="0" w:after="80" w:line="276" w:lineRule="auto"/>
        <w:jc w:val="both"/>
      </w:pPr>
      <w:r>
        <w:rPr>
          <w:rFonts w:ascii="Calibri" w:hAnsi="Calibri"/>
          <w:color w:val="2D3748"/>
          <w:sz w:val="22"/>
        </w:rPr>
        <w:t>Acceso Directo (Bypass Dev): Permite saltar directamente al Dashboard durante demostraciones académicas o revisiones sin credenciales previas.</w:t>
      </w:r>
    </w:p>
    <w:p>
      <w:pPr>
        <w:pStyle w:val="ListBullet"/>
        <w:spacing w:before="0" w:after="80" w:line="276" w:lineRule="auto"/>
        <w:jc w:val="both"/>
      </w:pPr>
      <w:r>
        <w:rPr>
          <w:rFonts w:ascii="Calibri" w:hAnsi="Calibri"/>
          <w:color w:val="2D3748"/>
          <w:sz w:val="22"/>
        </w:rPr>
        <w:t>Navegación Fluida: Enlace directo al formulario de registro estudiantil con animación de transición.</w:t>
      </w:r>
    </w:p>
    <w:p>
      <w:pPr>
        <w:pStyle w:val="Heading2"/>
        <w:keepNext/>
        <w:spacing w:before="280" w:after="80"/>
      </w:pPr>
      <w:r>
        <w:rPr>
          <w:rFonts w:ascii="Calibri" w:hAnsi="Calibri"/>
          <w:b/>
          <w:color w:val="2B6CB0"/>
          <w:sz w:val="26"/>
        </w:rPr>
        <w:t>8.2 Módulo de Registro Estudiantil con Autocomplete de Universidades</w:t>
      </w:r>
    </w:p>
    <w:p>
      <w:pPr>
        <w:pStyle w:val="ListBullet"/>
        <w:spacing w:before="0" w:after="80" w:line="276" w:lineRule="auto"/>
        <w:jc w:val="both"/>
      </w:pPr>
      <w:r>
        <w:rPr>
          <w:rFonts w:ascii="Calibri" w:hAnsi="Calibri"/>
          <w:color w:val="2D3748"/>
          <w:sz w:val="22"/>
        </w:rPr>
        <w:t>Validación de DNI: Restricción estricta de 8 dígitos numéricos con mensajes descriptivos de error.</w:t>
      </w:r>
    </w:p>
    <w:p>
      <w:pPr>
        <w:pStyle w:val="ListBullet"/>
        <w:spacing w:before="0" w:after="80" w:line="276" w:lineRule="auto"/>
        <w:jc w:val="both"/>
      </w:pPr>
      <w:r>
        <w:rPr>
          <w:rFonts w:ascii="Calibri" w:hAnsi="Calibri"/>
          <w:color w:val="2D3748"/>
          <w:sz w:val="22"/>
        </w:rPr>
        <w:t>Dropdown de Universidades: Componente ExposedDropdownMenuBox que lista interactivamente universidades peruanas conforme el usuario teclea (Continental, PUCP, San Marcos, UNI, UPC, UTEC, UNSA, etc.).</w:t>
      </w:r>
    </w:p>
    <w:p>
      <w:pPr>
        <w:pStyle w:val="ListBullet"/>
        <w:spacing w:before="0" w:after="80" w:line="276" w:lineRule="auto"/>
        <w:jc w:val="both"/>
      </w:pPr>
      <w:r>
        <w:rPr>
          <w:rFonts w:ascii="Calibri" w:hAnsi="Calibri"/>
          <w:color w:val="2D3748"/>
          <w:sz w:val="22"/>
        </w:rPr>
        <w:t>Sin Restricciones de Caracteres: Soporte para espacios y nombres largos institucionales.</w:t>
      </w:r>
    </w:p>
    <w:p>
      <w:pPr>
        <w:pStyle w:val="Heading2"/>
        <w:keepNext/>
        <w:spacing w:before="280" w:after="80"/>
      </w:pPr>
      <w:r>
        <w:rPr>
          <w:rFonts w:ascii="Calibri" w:hAnsi="Calibri"/>
          <w:b/>
          <w:color w:val="2B6CB0"/>
          <w:sz w:val="26"/>
        </w:rPr>
        <w:t>8.3 Módulo de Verificación Inteligente de Carnet Universitario con CameraX</w:t>
      </w:r>
    </w:p>
    <w:p>
      <w:pPr>
        <w:pStyle w:val="ListBullet"/>
        <w:spacing w:before="0" w:after="80" w:line="276" w:lineRule="auto"/>
        <w:jc w:val="both"/>
      </w:pPr>
      <w:r>
        <w:rPr>
          <w:rFonts w:ascii="Calibri" w:hAnsi="Calibri"/>
          <w:color w:val="2D3748"/>
          <w:sz w:val="22"/>
        </w:rPr>
        <w:t>Cámara Embebida en Recuadro: Uso directo de CameraX PreviewView acoplado a un marco guía con esquinas redondeadas.</w:t>
      </w:r>
    </w:p>
    <w:p>
      <w:pPr>
        <w:pStyle w:val="ListBullet"/>
        <w:spacing w:before="0" w:after="80" w:line="276" w:lineRule="auto"/>
        <w:jc w:val="both"/>
      </w:pPr>
      <w:r>
        <w:rPr>
          <w:rFonts w:ascii="Calibri" w:hAnsi="Calibri"/>
          <w:color w:val="2D3748"/>
          <w:sz w:val="22"/>
        </w:rPr>
        <w:t>Auto-Detección OCR: Procesamiento continuo de fotogramas sin presionar botones; al detectar 'SUNEDU' o 'UNIVERSIDAD', aprueba la verificación al instante.</w:t>
      </w:r>
    </w:p>
    <w:p>
      <w:pPr>
        <w:pStyle w:val="ListBullet"/>
        <w:spacing w:before="0" w:after="80" w:line="276" w:lineRule="auto"/>
        <w:jc w:val="both"/>
      </w:pPr>
      <w:r>
        <w:rPr>
          <w:rFonts w:ascii="Calibri" w:hAnsi="Calibri"/>
          <w:color w:val="2D3748"/>
          <w:sz w:val="22"/>
        </w:rPr>
        <w:t>Extracción Estructurada: Asigna nombres completos, DNI, universidad y carrera detectados directamente a la sesión del alumno.</w:t>
      </w:r>
    </w:p>
    <w:p>
      <w:pPr>
        <w:pStyle w:val="ListBullet"/>
        <w:spacing w:before="0" w:after="80" w:line="276" w:lineRule="auto"/>
        <w:jc w:val="both"/>
      </w:pPr>
      <w:r>
        <w:rPr>
          <w:rFonts w:ascii="Calibri" w:hAnsi="Calibri"/>
          <w:color w:val="2D3748"/>
          <w:sz w:val="22"/>
        </w:rPr>
        <w:t>Opción 'Omitir por ahora': Permite postergar la validación, otorgando estado PENDING_VERIFICATION.</w:t>
      </w:r>
    </w:p>
    <w:p>
      <w:pPr>
        <w:pStyle w:val="Heading2"/>
        <w:keepNext/>
        <w:spacing w:before="280" w:after="80"/>
      </w:pPr>
      <w:r>
        <w:rPr>
          <w:rFonts w:ascii="Calibri" w:hAnsi="Calibri"/>
          <w:b/>
          <w:color w:val="2B6CB0"/>
          <w:sz w:val="26"/>
        </w:rPr>
        <w:t>8.4 Módulo de Dashboard Principal (HomeScreen): Métricas y Carruseles</w:t>
      </w:r>
    </w:p>
    <w:p>
      <w:pPr>
        <w:pStyle w:val="ListBullet"/>
        <w:spacing w:before="0" w:after="80" w:line="276" w:lineRule="auto"/>
        <w:jc w:val="both"/>
      </w:pPr>
      <w:r>
        <w:rPr>
          <w:rFonts w:ascii="Calibri" w:hAnsi="Calibri"/>
          <w:color w:val="2D3748"/>
          <w:sz w:val="22"/>
        </w:rPr>
        <w:t>Widget de Ahorro Acumulado: Indicador financiero destacado (S/ 142.50) con comparativa mensual (+28%).</w:t>
      </w:r>
    </w:p>
    <w:p>
      <w:pPr>
        <w:pStyle w:val="ListBullet"/>
        <w:spacing w:before="0" w:after="80" w:line="276" w:lineRule="auto"/>
        <w:jc w:val="both"/>
      </w:pPr>
      <w:r>
        <w:rPr>
          <w:rFonts w:ascii="Calibri" w:hAnsi="Calibri"/>
          <w:color w:val="2D3748"/>
          <w:sz w:val="22"/>
        </w:rPr>
        <w:t>Carrusel '✨ Para ti (Más Populares)': Ofertas masivas con tags de descuento (2x1, 50% DCTO) y botón 'Activar beneficio'.</w:t>
      </w:r>
    </w:p>
    <w:p>
      <w:pPr>
        <w:pStyle w:val="ListBullet"/>
        <w:spacing w:before="0" w:after="80" w:line="276" w:lineRule="auto"/>
        <w:jc w:val="both"/>
      </w:pPr>
      <w:r>
        <w:rPr>
          <w:rFonts w:ascii="Calibri" w:hAnsi="Calibri"/>
          <w:color w:val="2D3748"/>
          <w:sz w:val="22"/>
        </w:rPr>
        <w:t>Carrusel '📍 Cerca de tu campus': Comercios con distancia en metros y tiempo de caminata estimado.</w:t>
      </w:r>
    </w:p>
    <w:p>
      <w:pPr>
        <w:pStyle w:val="ListBullet"/>
        <w:spacing w:before="0" w:after="80" w:line="276" w:lineRule="auto"/>
        <w:jc w:val="both"/>
      </w:pPr>
      <w:r>
        <w:rPr>
          <w:rFonts w:ascii="Calibri" w:hAnsi="Calibri"/>
          <w:color w:val="2D3748"/>
          <w:sz w:val="22"/>
        </w:rPr>
        <w:t>Carrusel '💻 Beneficios Virtuales &amp; Tech': Licencias de software educativo (GitHub, Notion, Figma) 100% gratuitas.</w:t>
      </w:r>
    </w:p>
    <w:p>
      <w:pPr>
        <w:pStyle w:val="ListBullet"/>
        <w:spacing w:before="0" w:after="80" w:line="276" w:lineRule="auto"/>
        <w:jc w:val="both"/>
      </w:pPr>
      <w:r>
        <w:rPr>
          <w:rFonts w:ascii="Calibri" w:hAnsi="Calibri"/>
          <w:color w:val="2D3748"/>
          <w:sz w:val="22"/>
        </w:rPr>
        <w:t>Buscador Interactivo: Filtro por categorías (Todas, Destacados, Comida, Software) y búsqueda en tiempo real.</w:t>
      </w:r>
    </w:p>
    <w:p>
      <w:pPr>
        <w:pStyle w:val="Heading2"/>
        <w:keepNext/>
        <w:spacing w:before="280" w:after="80"/>
      </w:pPr>
      <w:r>
        <w:rPr>
          <w:rFonts w:ascii="Calibri" w:hAnsi="Calibri"/>
          <w:b/>
          <w:color w:val="2B6CB0"/>
          <w:sz w:val="26"/>
        </w:rPr>
        <w:t>8.5 Módulo de Radar Geográfico de 30 km (MapScreen)</w:t>
      </w:r>
    </w:p>
    <w:p>
      <w:pPr>
        <w:pStyle w:val="ListBullet"/>
        <w:spacing w:before="0" w:after="80" w:line="276" w:lineRule="auto"/>
        <w:jc w:val="both"/>
      </w:pPr>
      <w:r>
        <w:rPr>
          <w:rFonts w:ascii="Calibri" w:hAnsi="Calibri"/>
          <w:color w:val="2D3748"/>
          <w:sz w:val="22"/>
        </w:rPr>
        <w:t>Fórmula de Haversine: Algoritmo esférico que calcula distancias reales considerando el radio terrestre (6371.0 km) [6].</w:t>
      </w:r>
    </w:p>
    <w:p>
      <w:pPr>
        <w:pStyle w:val="ListBullet"/>
        <w:spacing w:before="0" w:after="80" w:line="276" w:lineRule="auto"/>
        <w:jc w:val="both"/>
      </w:pPr>
      <w:r>
        <w:rPr>
          <w:rFonts w:ascii="Calibri" w:hAnsi="Calibri"/>
          <w:color w:val="2D3748"/>
          <w:sz w:val="22"/>
        </w:rPr>
        <w:t>Modo Dual (Mapa / Lista): Botón flotante para alternar entre el mapa satelital de Google Maps y la lista interactiva de locales.</w:t>
      </w:r>
    </w:p>
    <w:p>
      <w:pPr>
        <w:pStyle w:val="ListBullet"/>
        <w:spacing w:before="0" w:after="80" w:line="276" w:lineRule="auto"/>
        <w:jc w:val="both"/>
      </w:pPr>
      <w:r>
        <w:rPr>
          <w:rFonts w:ascii="Calibri" w:hAnsi="Calibri"/>
          <w:color w:val="2D3748"/>
          <w:sz w:val="22"/>
        </w:rPr>
        <w:t>9 Locales Comerciales Reales: Coordenadas auténticas en Cusco (Real Plaza, Av. de la Cultura, UNSAAC, Campus Continental) y Lima.</w:t>
      </w:r>
    </w:p>
    <w:p>
      <w:pPr>
        <w:pStyle w:val="ListBullet"/>
        <w:spacing w:before="0" w:after="80" w:line="276" w:lineRule="auto"/>
        <w:jc w:val="both"/>
      </w:pPr>
      <w:r>
        <w:rPr>
          <w:rFonts w:ascii="Calibri" w:hAnsi="Calibri"/>
          <w:color w:val="2D3748"/>
          <w:sz w:val="22"/>
        </w:rPr>
        <w:t>ModalBottomSheet: Detalle completo del local con dirección, calificación, descuento y botón 'Ir al beneficio'.</w:t>
      </w:r>
    </w:p>
    <w:p>
      <w:pPr>
        <w:pStyle w:val="Heading2"/>
        <w:keepNext/>
        <w:spacing w:before="280" w:after="80"/>
      </w:pPr>
      <w:r>
        <w:rPr>
          <w:rFonts w:ascii="Calibri" w:hAnsi="Calibri"/>
          <w:b/>
          <w:color w:val="2B6CB0"/>
          <w:sz w:val="26"/>
        </w:rPr>
        <w:t>8.6 Módulo de Perfil de Usuario (ProfileScreen)</w:t>
      </w:r>
    </w:p>
    <w:p>
      <w:pPr>
        <w:pStyle w:val="ListBullet"/>
        <w:spacing w:before="0" w:after="80" w:line="276" w:lineRule="auto"/>
        <w:jc w:val="both"/>
      </w:pPr>
      <w:r>
        <w:rPr>
          <w:rFonts w:ascii="Calibri" w:hAnsi="Calibri"/>
          <w:color w:val="2D3748"/>
          <w:sz w:val="22"/>
        </w:rPr>
        <w:t>Acceso Multicanal: Se accede pulsando el avatar del carnet en el saludo, el icono de usuario en el TopAppBar o el cuarto botón 'Mi Perfil' en la barra inferior.</w:t>
      </w:r>
    </w:p>
    <w:p>
      <w:pPr>
        <w:pStyle w:val="ListBullet"/>
        <w:spacing w:before="0" w:after="80" w:line="276" w:lineRule="auto"/>
        <w:jc w:val="both"/>
      </w:pPr>
      <w:r>
        <w:rPr>
          <w:rFonts w:ascii="Calibri" w:hAnsi="Calibri"/>
          <w:color w:val="2D3748"/>
          <w:sz w:val="22"/>
        </w:rPr>
        <w:t>Insignia y Rango Estudiantil: Clasificación dinámica ('Nivel Pro ⭐') y badge de verificación oficial.</w:t>
      </w:r>
    </w:p>
    <w:p>
      <w:pPr>
        <w:pStyle w:val="ListBullet"/>
        <w:spacing w:before="0" w:after="80" w:line="276" w:lineRule="auto"/>
        <w:jc w:val="both"/>
      </w:pPr>
      <w:r>
        <w:rPr>
          <w:rFonts w:ascii="Calibri" w:hAnsi="Calibri"/>
          <w:color w:val="2D3748"/>
          <w:sz w:val="22"/>
        </w:rPr>
        <w:t>Formulario Editable con Persistencia: Edición de Nombre, DNI, Universidad (con dropdown), Carrera y Código de Matrícula.</w:t>
      </w:r>
    </w:p>
    <w:p>
      <w:pPr>
        <w:pStyle w:val="ListBullet"/>
        <w:spacing w:before="0" w:after="80" w:line="276" w:lineRule="auto"/>
        <w:jc w:val="both"/>
      </w:pPr>
      <w:r>
        <w:rPr>
          <w:rFonts w:ascii="Calibri" w:hAnsi="Calibri"/>
          <w:color w:val="2D3748"/>
          <w:sz w:val="22"/>
        </w:rPr>
        <w:t>Preferencias del Radar: Chips para seleccionar radio de cobertura (5 km, 15 km, 30 km) y switch de alertas de proximidad a 200m.</w:t>
      </w:r>
    </w:p>
    <w:p>
      <w:pPr>
        <w:pStyle w:val="ListBullet"/>
        <w:spacing w:before="0" w:after="80" w:line="276" w:lineRule="auto"/>
        <w:jc w:val="both"/>
      </w:pPr>
      <w:r>
        <w:rPr>
          <w:rFonts w:ascii="Calibri" w:hAnsi="Calibri"/>
          <w:color w:val="2D3748"/>
          <w:sz w:val="22"/>
        </w:rPr>
        <w:t>Re-escaneo de Carnet: Botón directo para revalidar el documento universitario en cualquier momento.</w:t>
      </w:r>
    </w:p>
    <w:p>
      <w:pPr>
        <w:pStyle w:val="ListBullet"/>
        <w:spacing w:before="0" w:after="80" w:line="276" w:lineRule="auto"/>
        <w:jc w:val="both"/>
      </w:pPr>
      <w:r>
        <w:rPr>
          <w:rFonts w:ascii="Calibri" w:hAnsi="Calibri"/>
          <w:color w:val="2D3748"/>
          <w:sz w:val="22"/>
        </w:rPr>
        <w:t>Cierre de Sesión Seguro: Invoca sessionManager.clearSession() y purga el BackStack hacia la pantalla de login.</w:t>
      </w:r>
    </w:p>
    <w:p>
      <w:pPr>
        <w:pStyle w:val="Heading1"/>
        <w:keepNext/>
        <w:spacing w:before="360" w:after="120"/>
      </w:pPr>
      <w:r>
        <w:rPr>
          <w:rFonts w:ascii="Calibri" w:hAnsi="Calibri"/>
          <w:b/>
          <w:color w:val="1A365D"/>
          <w:sz w:val="32"/>
        </w:rPr>
        <w:t>9. PLAN DE ASEGURAMIENTO DE LA CALIDAD (QA) Y PRUEBAS AUTOMATIZADAS</w:t>
      </w:r>
    </w:p>
    <w:p>
      <w:pPr>
        <w:spacing w:before="0" w:after="120" w:line="276" w:lineRule="auto"/>
        <w:jc w:val="both"/>
      </w:pPr>
      <w:r>
        <w:rPr>
          <w:rFonts w:ascii="Calibri" w:hAnsi="Calibri"/>
          <w:color w:val="2D3748"/>
          <w:sz w:val="22"/>
        </w:rPr>
        <w:t>En cumplimiento de los estándares de fiabilidad de software [16], se diseñó e implementó una suite de 84 pruebas unitarias automatizadas divididas en 5 suites especializadas bajo JUnit 4. Todas las pruebas se ejecutan en menos de 3 segundos con 100% de tasa de éxito (BUILD SUCCESSFUL):</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Suite de Pruebas QA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Casos</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Escenarios y Criterios de Aceptación Validados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AuthAndCredentialsQaTest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16</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DNI de 8 dígitos exactos, rechazo de letras/espacios/símbolos, validación de correos institucionales (.edu.pe, .edu, .pe), rechazo de dominios comerciales genéricos (@gmail.com, @outlook.com) y longitud de contraseñas.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StudentCardOcrQaTest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Detección de carnet oficial SUNEDU 2026/2027, tolerancia a mayúsculas/minúsculas, extracción de códigos universitarios, identificación de universidades peruanas (Continental, San Marcos, PUCP, UNSAAC) y rechazo estricto de boletas comerciales o texto vacío.</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GeolocationRadarQaTest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Cálculo esférico Haversine con distancia cero entre coordenadas idénticas, simetría d(A,B) = d(B,A), distancias dentro del radio en Cusco, exclusión de locales lejanos (&gt;30 km como Lima-Cusco) y filtrado con radios personalizados (5 km, 30 km).</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PromotionsAndDealsCatalogQaTest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Verificación de URLs oficiales válidas con prefijo seguro https:// (Spotify, Notion, GitHub, Figma), filtrado por categorías de catálogo (Comida, Software, Transporte) y búsqueda por títulos y comercios sin distinción de mayúsculas.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UserProfileAndSessionQaTest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Modelo StudentUser, mutabilidad inmutable con copy(), transiciones de estados (UNVERIFIED -&gt; PENDING -&gt; VERIFIED -&gt; REJECTED), validación de preferencias de radar (5, 15, 30 km), alternancia de notificaciones y cálculo de métricas financieras acumuladas.</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QA: </w:t>
            </w:r>
            <w:r>
              <w:rPr>
                <w:rFonts w:ascii="Calibri" w:hAnsi="Calibri"/>
                <w:color w:val="2D3748"/>
                <w:sz w:val="20"/>
              </w:rPr>
              <w:t>Total de pruebas unitarias en el proyecto: 84 pruebas ejecutadas mediante './gradlew testDebugUnitTest' con 0 fallos. Supera con creces el requerimiento mínimo estipulado de 50 pruebas QA.</w:t>
            </w:r>
          </w:p>
        </w:tc>
      </w:tr>
    </w:tbl>
    <w:p>
      <w:pPr>
        <w:spacing w:before="0" w:after="80"/>
      </w:pPr>
    </w:p>
    <w:p>
      <w:pPr>
        <w:pStyle w:val="Heading1"/>
        <w:keepNext/>
        <w:spacing w:before="360" w:after="120"/>
      </w:pPr>
      <w:r>
        <w:rPr>
          <w:rFonts w:ascii="Calibri" w:hAnsi="Calibri"/>
          <w:b/>
          <w:color w:val="1A365D"/>
          <w:sz w:val="32"/>
        </w:rPr>
        <w:t>10. IDENTIDAD DE MARCA Y CAPTURAS DE PANTALLA</w:t>
      </w:r>
    </w:p>
    <w:p>
      <w:pPr>
        <w:spacing w:before="0" w:after="120" w:line="276" w:lineRule="auto"/>
        <w:jc w:val="both"/>
      </w:pPr>
      <w:r>
        <w:rPr>
          <w:rFonts w:ascii="Calibri" w:hAnsi="Calibri"/>
          <w:color w:val="2D3748"/>
          <w:sz w:val="22"/>
        </w:rPr>
        <w:t>A continuación se ilustran las vistas principales del sistema en su versión 1.2.0 capturadas directamente desde el emulador oficial de pruebas:</w:t>
      </w:r>
    </w:p>
    <w:p>
      <w:pPr>
        <w:spacing w:before="160" w:after="80"/>
        <w:jc w:val="center"/>
      </w:pPr>
      <w:r>
        <w:drawing>
          <wp:inline xmlns:a="http://schemas.openxmlformats.org/drawingml/2006/main" xmlns:pic="http://schemas.openxmlformats.org/drawingml/2006/picture">
            <wp:extent cx="2377440" cy="5292634"/>
            <wp:docPr id="2" name="Picture 2"/>
            <wp:cNvGraphicFramePr>
              <a:graphicFrameLocks noChangeAspect="1"/>
            </wp:cNvGraphicFramePr>
            <a:graphic>
              <a:graphicData uri="http://schemas.openxmlformats.org/drawingml/2006/picture">
                <pic:pic>
                  <pic:nvPicPr>
                    <pic:cNvPr id="0" name="screen_qa1.png"/>
                    <pic:cNvPicPr/>
                  </pic:nvPicPr>
                  <pic:blipFill>
                    <a:blip r:embed="rId10"/>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1: Pantalla de Inicio de Sesión (LoginScreen) con Mascota Mapache Mamey y Acceso Directo Dev.</w:t>
      </w:r>
    </w:p>
    <w:p>
      <w:pPr>
        <w:spacing w:before="160" w:after="80"/>
        <w:jc w:val="center"/>
      </w:pPr>
      <w:r>
        <w:drawing>
          <wp:inline xmlns:a="http://schemas.openxmlformats.org/drawingml/2006/main" xmlns:pic="http://schemas.openxmlformats.org/drawingml/2006/picture">
            <wp:extent cx="2377440" cy="5292634"/>
            <wp:docPr id="3" name="Picture 3"/>
            <wp:cNvGraphicFramePr>
              <a:graphicFrameLocks noChangeAspect="1"/>
            </wp:cNvGraphicFramePr>
            <a:graphic>
              <a:graphicData uri="http://schemas.openxmlformats.org/drawingml/2006/picture">
                <pic:pic>
                  <pic:nvPicPr>
                    <pic:cNvPr id="0" name="screen_qa2.png"/>
                    <pic:cNvPicPr/>
                  </pic:nvPicPr>
                  <pic:blipFill>
                    <a:blip r:embed="rId11"/>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2: Dashboard Principal (HomeScreen) con Ahorro Acumulado, Carruseles Horizontales y Barra Inferior.</w:t>
      </w:r>
    </w:p>
    <w:p>
      <w:pPr>
        <w:spacing w:before="160" w:after="80"/>
        <w:jc w:val="center"/>
      </w:pPr>
      <w:r>
        <w:drawing>
          <wp:inline xmlns:a="http://schemas.openxmlformats.org/drawingml/2006/main" xmlns:pic="http://schemas.openxmlformats.org/drawingml/2006/picture">
            <wp:extent cx="2377440" cy="5292634"/>
            <wp:docPr id="4" name="Picture 4"/>
            <wp:cNvGraphicFramePr>
              <a:graphicFrameLocks noChangeAspect="1"/>
            </wp:cNvGraphicFramePr>
            <a:graphic>
              <a:graphicData uri="http://schemas.openxmlformats.org/drawingml/2006/picture">
                <pic:pic>
                  <pic:nvPicPr>
                    <pic:cNvPr id="0" name="screen_qa3.png"/>
                    <pic:cNvPicPr/>
                  </pic:nvPicPr>
                  <pic:blipFill>
                    <a:blip r:embed="rId12"/>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3: Pantalla de Perfil de Usuario (ProfileScreen) con Métricas Estudiantiles y Formulario Editable.</w:t>
      </w:r>
    </w:p>
    <w:p>
      <w:pPr>
        <w:spacing w:before="160" w:after="80"/>
        <w:jc w:val="center"/>
      </w:pPr>
      <w:r>
        <w:drawing>
          <wp:inline xmlns:a="http://schemas.openxmlformats.org/drawingml/2006/main" xmlns:pic="http://schemas.openxmlformats.org/drawingml/2006/picture">
            <wp:extent cx="2377440" cy="5292634"/>
            <wp:docPr id="5" name="Picture 5"/>
            <wp:cNvGraphicFramePr>
              <a:graphicFrameLocks noChangeAspect="1"/>
            </wp:cNvGraphicFramePr>
            <a:graphic>
              <a:graphicData uri="http://schemas.openxmlformats.org/drawingml/2006/picture">
                <pic:pic>
                  <pic:nvPicPr>
                    <pic:cNvPr id="0" name="screen_qa4.png"/>
                    <pic:cNvPicPr/>
                  </pic:nvPicPr>
                  <pic:blipFill>
                    <a:blip r:embed="rId13"/>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4: Preferencias de Radar GPS (5km, 15km, 30km), Switch de Alertas y Botón de Re-escaneo de Carnet.</w:t>
      </w:r>
    </w:p>
    <w:p>
      <w:pPr>
        <w:pStyle w:val="Heading1"/>
        <w:keepNext/>
        <w:spacing w:before="360" w:after="120"/>
      </w:pPr>
      <w:r>
        <w:rPr>
          <w:rFonts w:ascii="Calibri" w:hAnsi="Calibri"/>
          <w:b/>
          <w:color w:val="1A365D"/>
          <w:sz w:val="32"/>
        </w:rPr>
        <w:t>11. CONCLUSIONES Y TRABAJO FUTURO</w:t>
      </w:r>
    </w:p>
    <w:p>
      <w:pPr>
        <w:spacing w:before="0" w:after="120" w:line="276" w:lineRule="auto"/>
        <w:jc w:val="both"/>
      </w:pPr>
      <w:r>
        <w:rPr>
          <w:rFonts w:ascii="Calibri" w:hAnsi="Calibri"/>
          <w:color w:val="2D3748"/>
          <w:sz w:val="22"/>
        </w:rPr>
        <w:t>La versión 1.2.0 de EstudiHambres (CampusPass) demuestra la viabilidad técnica y pedagógica de una solución móvil nativa para optimizar el gasto de los universitarios peruanos. La combinación de Clean Architecture, Jetpack Compose y procesamiento on-device con Google ML Kit establece una arquitectura altamente desacoplada, testeable y eficiente en consumo de recursos.</w:t>
      </w:r>
    </w:p>
    <w:p>
      <w:pPr>
        <w:spacing w:before="0" w:after="120" w:line="276" w:lineRule="auto"/>
        <w:jc w:val="both"/>
      </w:pPr>
      <w:r>
        <w:rPr>
          <w:rFonts w:ascii="Calibri" w:hAnsi="Calibri"/>
          <w:color w:val="2D3748"/>
          <w:sz w:val="22"/>
        </w:rPr>
        <w:t>Como líneas futuras de trabajo para versiones posteriores (v2.0) se contempla:</w:t>
      </w:r>
    </w:p>
    <w:p>
      <w:pPr>
        <w:pStyle w:val="ListBullet"/>
        <w:spacing w:before="0" w:after="80" w:line="276" w:lineRule="auto"/>
        <w:jc w:val="both"/>
      </w:pPr>
      <w:r>
        <w:rPr>
          <w:rFonts w:ascii="Calibri" w:hAnsi="Calibri"/>
          <w:color w:val="2D3748"/>
          <w:sz w:val="22"/>
        </w:rPr>
        <w:t>Sincronización remota mediante backend REST/GraphQL en Kotlin Ktor o Spring Boot con base de datos PostgreSQL.</w:t>
      </w:r>
    </w:p>
    <w:p>
      <w:pPr>
        <w:pStyle w:val="ListBullet"/>
        <w:spacing w:before="0" w:after="80" w:line="276" w:lineRule="auto"/>
        <w:jc w:val="both"/>
      </w:pPr>
      <w:r>
        <w:rPr>
          <w:rFonts w:ascii="Calibri" w:hAnsi="Calibri"/>
          <w:color w:val="2D3748"/>
          <w:sz w:val="22"/>
        </w:rPr>
        <w:t>Integración con la API pública de SUNEDU para contraste biométrico o validación de código QR oficial del carnet.</w:t>
      </w:r>
    </w:p>
    <w:p>
      <w:pPr>
        <w:pStyle w:val="ListBullet"/>
        <w:spacing w:before="0" w:after="80" w:line="276" w:lineRule="auto"/>
        <w:jc w:val="both"/>
      </w:pPr>
      <w:r>
        <w:rPr>
          <w:rFonts w:ascii="Calibri" w:hAnsi="Calibri"/>
          <w:color w:val="2D3748"/>
          <w:sz w:val="22"/>
        </w:rPr>
        <w:t>Módulo de canje mediante código QR dinámico de un solo uso (TOTP) para comercios físicos aliados.</w:t>
      </w:r>
    </w:p>
    <w:p>
      <w:pPr>
        <w:pStyle w:val="ListBullet"/>
        <w:spacing w:before="0" w:after="80" w:line="276" w:lineRule="auto"/>
        <w:jc w:val="both"/>
      </w:pPr>
      <w:r>
        <w:rPr>
          <w:rFonts w:ascii="Calibri" w:hAnsi="Calibri"/>
          <w:color w:val="2D3748"/>
          <w:sz w:val="22"/>
        </w:rPr>
        <w:t>Implementación de notificaciones push de alta prioridad con Firebase Cloud Messaging (FCM) al ingresar al radio de 200m.</w:t>
      </w:r>
    </w:p>
    <w:p>
      <w:pPr>
        <w:pStyle w:val="Heading1"/>
        <w:keepNext/>
        <w:spacing w:before="360" w:after="120"/>
      </w:pPr>
      <w:r>
        <w:rPr>
          <w:rFonts w:ascii="Calibri" w:hAnsi="Calibri"/>
          <w:b/>
          <w:color w:val="1A365D"/>
          <w:sz w:val="32"/>
        </w:rPr>
        <w:t>12. REFERENCIAS BIBLIOGRÁFICAS (NORMA ISO 690:2010)</w:t>
      </w:r>
    </w:p>
    <w:p>
      <w:pPr>
        <w:spacing w:before="0" w:after="120" w:line="276" w:lineRule="auto"/>
        <w:jc w:val="both"/>
      </w:pPr>
      <w:r>
        <w:rPr>
          <w:rFonts w:ascii="Calibri" w:hAnsi="Calibri"/>
          <w:color w:val="2D3748"/>
          <w:sz w:val="22"/>
        </w:rPr>
        <w:t>El presente compendio bibliográfico cumple rigurosamente las directrices internacionales establecidas en la norma ISO 690:2010 (Información y documentación — Directrices para la redacción de referencias bibliográficas y de citas de recursos de información) [17]:</w:t>
      </w:r>
    </w:p>
    <w:p>
      <w:pPr>
        <w:spacing w:before="40" w:after="120" w:line="276" w:lineRule="auto"/>
        <w:jc w:val="both"/>
      </w:pPr>
      <w:r>
        <w:rPr>
          <w:rFonts w:ascii="Calibri" w:hAnsi="Calibri"/>
          <w:b/>
          <w:color w:val="1A365D"/>
          <w:sz w:val="20"/>
        </w:rPr>
        <w:t xml:space="preserve">[1] </w:t>
      </w:r>
      <w:r>
        <w:rPr>
          <w:rFonts w:ascii="Calibri" w:hAnsi="Calibri"/>
          <w:color w:val="2D3748"/>
          <w:sz w:val="20"/>
        </w:rPr>
        <w:t>PERÚ. CONGRESO DE LA REPÚBLICA. Ley Universitaria Nº 30220. Diario Oficial El Peruano, 9 de julio de 2014, año XXXI, no. 12903, pp. 527213-527233.</w:t>
      </w:r>
    </w:p>
    <w:p>
      <w:pPr>
        <w:spacing w:before="40" w:after="120" w:line="276" w:lineRule="auto"/>
        <w:jc w:val="both"/>
      </w:pPr>
      <w:r>
        <w:rPr>
          <w:rFonts w:ascii="Calibri" w:hAnsi="Calibri"/>
          <w:b/>
          <w:color w:val="1A365D"/>
          <w:sz w:val="20"/>
        </w:rPr>
        <w:t xml:space="preserve">[2] </w:t>
      </w:r>
      <w:r>
        <w:rPr>
          <w:rFonts w:ascii="Calibri" w:hAnsi="Calibri"/>
          <w:color w:val="2D3748"/>
          <w:sz w:val="20"/>
        </w:rPr>
        <w:t>SUPERINTENDENCIA NACIONAL DE EDUCACIÓN SUPERIOR UNIVERSITARIA (SUNEDU). Reglamento del Carné Universitario expedido por la SUNEDU: Resolución del Consejo Directivo Nº 012-2023-SUNEDU/CD [en línea]. Lima: SUNEDU, 2023 [consulta: 1 de octubre de 2026]. Disponible en: &lt;https://www.sunedu.gob.pe&gt;.</w:t>
      </w:r>
    </w:p>
    <w:p>
      <w:pPr>
        <w:spacing w:before="40" w:after="120" w:line="276" w:lineRule="auto"/>
        <w:jc w:val="both"/>
      </w:pPr>
      <w:r>
        <w:rPr>
          <w:rFonts w:ascii="Calibri" w:hAnsi="Calibri"/>
          <w:b/>
          <w:color w:val="1A365D"/>
          <w:sz w:val="20"/>
        </w:rPr>
        <w:t xml:space="preserve">[3] </w:t>
      </w:r>
      <w:r>
        <w:rPr>
          <w:rFonts w:ascii="Calibri" w:hAnsi="Calibri"/>
          <w:color w:val="2D3748"/>
          <w:sz w:val="20"/>
        </w:rPr>
        <w:t>GOOGLE LLC. Android Developers: Guía de arquitectura de apps en Android [en línea]. Mountain View: Google LLC, 2024 [consulta: 1 de octubre de 2026]. Disponible en: &lt;https://developer.android.com/topic/architecture&gt;.</w:t>
      </w:r>
    </w:p>
    <w:p>
      <w:pPr>
        <w:spacing w:before="40" w:after="120" w:line="276" w:lineRule="auto"/>
        <w:jc w:val="both"/>
      </w:pPr>
      <w:r>
        <w:rPr>
          <w:rFonts w:ascii="Calibri" w:hAnsi="Calibri"/>
          <w:b/>
          <w:color w:val="1A365D"/>
          <w:sz w:val="20"/>
        </w:rPr>
        <w:t xml:space="preserve">[4] </w:t>
      </w:r>
      <w:r>
        <w:rPr>
          <w:rFonts w:ascii="Calibri" w:hAnsi="Calibri"/>
          <w:color w:val="2D3748"/>
          <w:sz w:val="20"/>
        </w:rPr>
        <w:t>GOOGLE LLC. ML Kit for Android: Text Recognition v2 on-device [en línea]. Mountain View: Google LLC, 2024 [consulta: 1 de octubre de 2026]. Disponible en: &lt;https://developers.google.com/ml-kit/vision/text-recognition/android&gt;.</w:t>
      </w:r>
    </w:p>
    <w:p>
      <w:pPr>
        <w:spacing w:before="40" w:after="120" w:line="276" w:lineRule="auto"/>
        <w:jc w:val="both"/>
      </w:pPr>
      <w:r>
        <w:rPr>
          <w:rFonts w:ascii="Calibri" w:hAnsi="Calibri"/>
          <w:b/>
          <w:color w:val="1A365D"/>
          <w:sz w:val="20"/>
        </w:rPr>
        <w:t xml:space="preserve">[5] </w:t>
      </w:r>
      <w:r>
        <w:rPr>
          <w:rFonts w:ascii="Calibri" w:hAnsi="Calibri"/>
          <w:color w:val="2D3748"/>
          <w:sz w:val="20"/>
        </w:rPr>
        <w:t>GOOGLE LLC. CameraX Architecture and Implementation Guide [en línea]. Mountain View: Google LLC, 2024 [consulta: 1 de octubre de 2026]. Disponible en: &lt;https://developer.android.com/training/camerax&gt;.</w:t>
      </w:r>
    </w:p>
    <w:p>
      <w:pPr>
        <w:spacing w:before="40" w:after="120" w:line="276" w:lineRule="auto"/>
        <w:jc w:val="both"/>
      </w:pPr>
      <w:r>
        <w:rPr>
          <w:rFonts w:ascii="Calibri" w:hAnsi="Calibri"/>
          <w:b/>
          <w:color w:val="1A365D"/>
          <w:sz w:val="20"/>
        </w:rPr>
        <w:t xml:space="preserve">[6] </w:t>
      </w:r>
      <w:r>
        <w:rPr>
          <w:rFonts w:ascii="Calibri" w:hAnsi="Calibri"/>
          <w:color w:val="2D3748"/>
          <w:sz w:val="20"/>
        </w:rPr>
        <w:t>SINNOTT, Roger W. Virtues of the Haversine. Sky and Telescope, 1984, vol. 68, no. 2, p. 159. ISSN 0037-6604.</w:t>
      </w:r>
    </w:p>
    <w:p>
      <w:pPr>
        <w:spacing w:before="40" w:after="120" w:line="276" w:lineRule="auto"/>
        <w:jc w:val="both"/>
      </w:pPr>
      <w:r>
        <w:rPr>
          <w:rFonts w:ascii="Calibri" w:hAnsi="Calibri"/>
          <w:b/>
          <w:color w:val="1A365D"/>
          <w:sz w:val="20"/>
        </w:rPr>
        <w:t xml:space="preserve">[7] </w:t>
      </w:r>
      <w:r>
        <w:rPr>
          <w:rFonts w:ascii="Calibri" w:hAnsi="Calibri"/>
          <w:color w:val="2D3748"/>
          <w:sz w:val="20"/>
        </w:rPr>
        <w:t>GOOGLE LLC. Android Developers: Intents and Intent Filters [en línea]. Mountain View: Google LLC, 2024 [consulta: 1 de octubre de 2026]. Disponible en: &lt;https://developer.android.com/guide/components/intents-filters&gt;.</w:t>
      </w:r>
    </w:p>
    <w:p>
      <w:pPr>
        <w:spacing w:before="40" w:after="120" w:line="276" w:lineRule="auto"/>
        <w:jc w:val="both"/>
      </w:pPr>
      <w:r>
        <w:rPr>
          <w:rFonts w:ascii="Calibri" w:hAnsi="Calibri"/>
          <w:b/>
          <w:color w:val="1A365D"/>
          <w:sz w:val="20"/>
        </w:rPr>
        <w:t xml:space="preserve">[8] </w:t>
      </w:r>
      <w:r>
        <w:rPr>
          <w:rFonts w:ascii="Calibri" w:hAnsi="Calibri"/>
          <w:color w:val="2D3748"/>
          <w:sz w:val="20"/>
        </w:rPr>
        <w:t>GOOGLE LLC. Material Design 3 for Jetpack Compose: Menus and Exposed Dropdown Menu Box [en línea]. Mountain View: Google LLC, 2024 [consulta: 1 de octubre de 2026]. Disponible en: &lt;https://m3.material.io&gt;.</w:t>
      </w:r>
    </w:p>
    <w:p>
      <w:pPr>
        <w:spacing w:before="40" w:after="120" w:line="276" w:lineRule="auto"/>
        <w:jc w:val="both"/>
      </w:pPr>
      <w:r>
        <w:rPr>
          <w:rFonts w:ascii="Calibri" w:hAnsi="Calibri"/>
          <w:b/>
          <w:color w:val="1A365D"/>
          <w:sz w:val="20"/>
        </w:rPr>
        <w:t xml:space="preserve">[9] </w:t>
      </w:r>
      <w:r>
        <w:rPr>
          <w:rFonts w:ascii="Calibri" w:hAnsi="Calibri"/>
          <w:color w:val="2D3748"/>
          <w:sz w:val="20"/>
        </w:rPr>
        <w:t>INTERNATIONAL ORGANIZATION FOR STANDARDIZATION. ISO/IEC 7810:2019 Identification cards — Physical characteristics. Ginebra: ISO, 2019.</w:t>
      </w:r>
    </w:p>
    <w:p>
      <w:pPr>
        <w:spacing w:before="40" w:after="120" w:line="276" w:lineRule="auto"/>
        <w:jc w:val="both"/>
      </w:pPr>
      <w:r>
        <w:rPr>
          <w:rFonts w:ascii="Calibri" w:hAnsi="Calibri"/>
          <w:b/>
          <w:color w:val="1A365D"/>
          <w:sz w:val="20"/>
        </w:rPr>
        <w:t xml:space="preserve">[10] </w:t>
      </w:r>
      <w:r>
        <w:rPr>
          <w:rFonts w:ascii="Calibri" w:hAnsi="Calibri"/>
          <w:color w:val="2D3748"/>
          <w:sz w:val="20"/>
        </w:rPr>
        <w:t>MARTIN, Robert C. Clean Architecture: A Craftsman's Guide to Software Structure and Design. Boston: Prentice Hall, 2017. ISBN 978-0134494166.</w:t>
      </w:r>
    </w:p>
    <w:p>
      <w:pPr>
        <w:spacing w:before="40" w:after="120" w:line="276" w:lineRule="auto"/>
        <w:jc w:val="both"/>
      </w:pPr>
      <w:r>
        <w:rPr>
          <w:rFonts w:ascii="Calibri" w:hAnsi="Calibri"/>
          <w:b/>
          <w:color w:val="1A365D"/>
          <w:sz w:val="20"/>
        </w:rPr>
        <w:t xml:space="preserve">[11] </w:t>
      </w:r>
      <w:r>
        <w:rPr>
          <w:rFonts w:ascii="Calibri" w:hAnsi="Calibri"/>
          <w:color w:val="2D3748"/>
          <w:sz w:val="20"/>
        </w:rPr>
        <w:t>ELIZAROV, Roman. Reactive Streams and Kotlin Flow. KotlinConf 2019 [en línea]. Copenhague: JetBrains, 2019 [consulta: 1 de octubre de 2026]. Disponible en: &lt;https://kotlinlang.org/docs/flow.html&gt;.</w:t>
      </w:r>
    </w:p>
    <w:p>
      <w:pPr>
        <w:spacing w:before="40" w:after="120" w:line="276" w:lineRule="auto"/>
        <w:jc w:val="both"/>
      </w:pPr>
      <w:r>
        <w:rPr>
          <w:rFonts w:ascii="Calibri" w:hAnsi="Calibri"/>
          <w:b/>
          <w:color w:val="1A365D"/>
          <w:sz w:val="20"/>
        </w:rPr>
        <w:t xml:space="preserve">[12] </w:t>
      </w:r>
      <w:r>
        <w:rPr>
          <w:rFonts w:ascii="Calibri" w:hAnsi="Calibri"/>
          <w:color w:val="2D3748"/>
          <w:sz w:val="20"/>
        </w:rPr>
        <w:t>JETBRAINS N.V. The Kotlin Programming Language Specification: Kotlin 2.0 Reference [en línea]. Praga: JetBrains, 2024 [consulta: 1 de octubre de 2026]. Disponible en: &lt;https://kotlinlang.org&gt;.</w:t>
      </w:r>
    </w:p>
    <w:p>
      <w:pPr>
        <w:spacing w:before="40" w:after="120" w:line="276" w:lineRule="auto"/>
        <w:jc w:val="both"/>
      </w:pPr>
      <w:r>
        <w:rPr>
          <w:rFonts w:ascii="Calibri" w:hAnsi="Calibri"/>
          <w:b/>
          <w:color w:val="1A365D"/>
          <w:sz w:val="20"/>
        </w:rPr>
        <w:t xml:space="preserve">[13] </w:t>
      </w:r>
      <w:r>
        <w:rPr>
          <w:rFonts w:ascii="Calibri" w:hAnsi="Calibri"/>
          <w:color w:val="2D3748"/>
          <w:sz w:val="20"/>
        </w:rPr>
        <w:t>SEEMANN, Mark. Dependency Injection Principles, Practices, and Patterns. Shelter Island: Manning Publications, 2019. ISBN 978-1617294730.</w:t>
      </w:r>
    </w:p>
    <w:p>
      <w:pPr>
        <w:spacing w:before="40" w:after="120" w:line="276" w:lineRule="auto"/>
        <w:jc w:val="both"/>
      </w:pPr>
      <w:r>
        <w:rPr>
          <w:rFonts w:ascii="Calibri" w:hAnsi="Calibri"/>
          <w:b/>
          <w:color w:val="1A365D"/>
          <w:sz w:val="20"/>
        </w:rPr>
        <w:t xml:space="preserve">[14] </w:t>
      </w:r>
      <w:r>
        <w:rPr>
          <w:rFonts w:ascii="Calibri" w:hAnsi="Calibri"/>
          <w:color w:val="2D3748"/>
          <w:sz w:val="20"/>
        </w:rPr>
        <w:t>GRADLE INC. Gradle Build Tool User Manual: Version Catalogs [en línea]. San Francisco: Gradle Inc., 2024 [consulta: 1 de octubre de 2026]. Disponible en: &lt;https://docs.gradle.org&gt;.</w:t>
      </w:r>
    </w:p>
    <w:p>
      <w:pPr>
        <w:spacing w:before="40" w:after="120" w:line="276" w:lineRule="auto"/>
        <w:jc w:val="both"/>
      </w:pPr>
      <w:r>
        <w:rPr>
          <w:rFonts w:ascii="Calibri" w:hAnsi="Calibri"/>
          <w:b/>
          <w:color w:val="1A365D"/>
          <w:sz w:val="20"/>
        </w:rPr>
        <w:t xml:space="preserve">[15] </w:t>
      </w:r>
      <w:r>
        <w:rPr>
          <w:rFonts w:ascii="Calibri" w:hAnsi="Calibri"/>
          <w:color w:val="2D3748"/>
          <w:sz w:val="20"/>
        </w:rPr>
        <w:t>GOOGLE MAPS PLATFORM. Google Maps Compose Library for Android [en línea]. Mountain View: Google LLC, 2024 [consulta: 1 de octubre de 2026]. Disponible en: &lt;https://github.com/googlemaps/android-maps-compose&gt;.</w:t>
      </w:r>
    </w:p>
    <w:p>
      <w:pPr>
        <w:spacing w:before="40" w:after="120" w:line="276" w:lineRule="auto"/>
        <w:jc w:val="both"/>
      </w:pPr>
      <w:r>
        <w:rPr>
          <w:rFonts w:ascii="Calibri" w:hAnsi="Calibri"/>
          <w:b/>
          <w:color w:val="1A365D"/>
          <w:sz w:val="20"/>
        </w:rPr>
        <w:t xml:space="preserve">[16] </w:t>
      </w:r>
      <w:r>
        <w:rPr>
          <w:rFonts w:ascii="Calibri" w:hAnsi="Calibri"/>
          <w:color w:val="2D3748"/>
          <w:sz w:val="20"/>
        </w:rPr>
        <w:t>BECK, Kent. Test-Driven Development: By Example. Boston: Addison-Wesley Professional, 2002. ISBN 978-0321146533.</w:t>
      </w:r>
    </w:p>
    <w:p>
      <w:pPr>
        <w:spacing w:before="40" w:after="120" w:line="276" w:lineRule="auto"/>
        <w:jc w:val="both"/>
      </w:pPr>
      <w:r>
        <w:rPr>
          <w:rFonts w:ascii="Calibri" w:hAnsi="Calibri"/>
          <w:b/>
          <w:color w:val="1A365D"/>
          <w:sz w:val="20"/>
        </w:rPr>
        <w:t xml:space="preserve">[17] </w:t>
      </w:r>
      <w:r>
        <w:rPr>
          <w:rFonts w:ascii="Calibri" w:hAnsi="Calibri"/>
          <w:color w:val="2D3748"/>
          <w:sz w:val="20"/>
        </w:rPr>
        <w:t>INTERNATIONAL ORGANIZATION FOR STANDARDIZATION. ISO 690:2010 Information and documentation — Guidelines for bibliographic references and citations to information resources. 3ª ed. Ginebra: ISO,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