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6534D" w14:textId="6DBDC845" w:rsidR="00081818" w:rsidRDefault="00081818">
      <w:pPr>
        <w:rPr>
          <w:b/>
          <w:bCs/>
        </w:rPr>
      </w:pPr>
      <w:r>
        <w:rPr>
          <w:b/>
          <w:bCs/>
        </w:rPr>
        <w:t>Detailed explanation of how we performed size-standardization</w:t>
      </w:r>
    </w:p>
    <w:p w14:paraId="24B8E5B8" w14:textId="60BE0174" w:rsidR="00081818" w:rsidRPr="006639D2" w:rsidRDefault="00081818">
      <w:pPr>
        <w:rPr>
          <w:i/>
          <w:iCs/>
        </w:rPr>
      </w:pPr>
      <w:r w:rsidRPr="006639D2">
        <w:rPr>
          <w:i/>
          <w:iCs/>
        </w:rPr>
        <w:t xml:space="preserve">Written by </w:t>
      </w:r>
      <w:proofErr w:type="spellStart"/>
      <w:r w:rsidRPr="006639D2">
        <w:rPr>
          <w:i/>
          <w:iCs/>
        </w:rPr>
        <w:t>Kaija</w:t>
      </w:r>
      <w:proofErr w:type="spellEnd"/>
      <w:r w:rsidRPr="006639D2">
        <w:rPr>
          <w:i/>
          <w:iCs/>
        </w:rPr>
        <w:t xml:space="preserve"> </w:t>
      </w:r>
      <w:proofErr w:type="spellStart"/>
      <w:r w:rsidRPr="006639D2">
        <w:rPr>
          <w:i/>
          <w:iCs/>
        </w:rPr>
        <w:t>Gahm</w:t>
      </w:r>
      <w:proofErr w:type="spellEnd"/>
      <w:r w:rsidRPr="006639D2">
        <w:rPr>
          <w:i/>
          <w:iCs/>
        </w:rPr>
        <w:t xml:space="preserve"> on 28 April 2021</w:t>
      </w:r>
    </w:p>
    <w:p w14:paraId="744AB2C1" w14:textId="2B167DCF" w:rsidR="00081818" w:rsidRDefault="00081818">
      <w:pPr>
        <w:rPr>
          <w:i/>
          <w:iCs/>
        </w:rPr>
      </w:pPr>
      <w:r w:rsidRPr="006639D2">
        <w:rPr>
          <w:i/>
          <w:iCs/>
        </w:rPr>
        <w:t>Based on notes from Chris Solomon and discussion on same date</w:t>
      </w:r>
    </w:p>
    <w:p w14:paraId="18E52EB7" w14:textId="2B3DE505" w:rsidR="006639D2" w:rsidRDefault="006639D2">
      <w:pPr>
        <w:rPr>
          <w:i/>
          <w:iCs/>
        </w:rPr>
      </w:pPr>
    </w:p>
    <w:p w14:paraId="7D1D5704" w14:textId="77777777" w:rsidR="006639D2" w:rsidRDefault="006639D2">
      <w:r>
        <w:t>Notes:</w:t>
      </w:r>
    </w:p>
    <w:p w14:paraId="30577C0D" w14:textId="6555D846" w:rsidR="006639D2" w:rsidRDefault="006639D2" w:rsidP="006639D2">
      <w:pPr>
        <w:pStyle w:val="ListParagraph"/>
        <w:numPr>
          <w:ilvl w:val="0"/>
          <w:numId w:val="2"/>
        </w:numPr>
      </w:pPr>
      <w:r>
        <w:t xml:space="preserve">When we refer to “the coefficient” of a model below, we’re talking about </w:t>
      </w:r>
      <w:proofErr w:type="spellStart"/>
      <w:r>
        <w:t>coef</w:t>
      </w:r>
      <w:proofErr w:type="spellEnd"/>
      <w:r>
        <w:t>(model</w:t>
      </w:r>
      <w:proofErr w:type="gramStart"/>
      <w:r>
        <w:t>)[</w:t>
      </w:r>
      <w:proofErr w:type="gramEnd"/>
      <w:r>
        <w:t xml:space="preserve">2], which is the Estimate for </w:t>
      </w:r>
      <w:r w:rsidRPr="006639D2">
        <w:t>log(</w:t>
      </w:r>
      <w:proofErr w:type="spellStart"/>
      <w:r w:rsidRPr="006639D2">
        <w:t>fishStdLength</w:t>
      </w:r>
      <w:proofErr w:type="spellEnd"/>
      <w:r w:rsidRPr="006639D2">
        <w:t>)</w:t>
      </w:r>
    </w:p>
    <w:p w14:paraId="2956D08B" w14:textId="62FA7374" w:rsidR="00DD06B4" w:rsidRDefault="00DD06B4" w:rsidP="006639D2">
      <w:pPr>
        <w:pStyle w:val="ListParagraph"/>
        <w:numPr>
          <w:ilvl w:val="0"/>
          <w:numId w:val="2"/>
        </w:numPr>
      </w:pPr>
      <w:proofErr w:type="gramStart"/>
      <w:r>
        <w:t>log(</w:t>
      </w:r>
      <w:proofErr w:type="gramEnd"/>
      <w:r>
        <w:t>) always refers to the natural log, ln().</w:t>
      </w:r>
    </w:p>
    <w:p w14:paraId="24C96A50" w14:textId="77777777" w:rsidR="006639D2" w:rsidRPr="006639D2" w:rsidRDefault="006639D2" w:rsidP="006639D2">
      <w:pPr>
        <w:pStyle w:val="ListParagraph"/>
      </w:pPr>
    </w:p>
    <w:p w14:paraId="08B244AE" w14:textId="57BFC853" w:rsidR="006639D2" w:rsidRPr="006639D2" w:rsidRDefault="006639D2">
      <w:pPr>
        <w:rPr>
          <w:b/>
          <w:bCs/>
        </w:rPr>
      </w:pPr>
      <w:r>
        <w:rPr>
          <w:b/>
          <w:bCs/>
        </w:rPr>
        <w:t>Paraphrasing Chris’s notes:</w:t>
      </w:r>
    </w:p>
    <w:p w14:paraId="5723B6C7" w14:textId="4B3AD428" w:rsidR="006639D2" w:rsidRDefault="006639D2">
      <w:r>
        <w:t xml:space="preserve">Andrew [Hendry] pointed Chelsea towards </w:t>
      </w:r>
      <w:proofErr w:type="spellStart"/>
      <w:r>
        <w:t>Kaeuffer</w:t>
      </w:r>
      <w:proofErr w:type="spellEnd"/>
      <w:r>
        <w:t xml:space="preserve"> et al. 2012 (p 406) for instructions on how to do the size-correction. That paper refers back to </w:t>
      </w:r>
      <w:proofErr w:type="spellStart"/>
      <w:r>
        <w:t>Reist</w:t>
      </w:r>
      <w:proofErr w:type="spellEnd"/>
      <w:r>
        <w:t xml:space="preserve"> 1986. Based on those, here’s what we want to do:</w:t>
      </w:r>
    </w:p>
    <w:p w14:paraId="2AE9E0CB" w14:textId="6961928D" w:rsidR="006639D2" w:rsidRDefault="006639D2"/>
    <w:p w14:paraId="5F401E03" w14:textId="3F702C4B" w:rsidR="006639D2" w:rsidRDefault="006639D2">
      <w:r>
        <w:t>For each trait that we need to size-correct, fit three models for the regression of log(trait) on log(</w:t>
      </w:r>
      <w:proofErr w:type="spellStart"/>
      <w:r>
        <w:t>fishStdLength</w:t>
      </w:r>
      <w:proofErr w:type="spellEnd"/>
      <w:r>
        <w:t>)</w:t>
      </w:r>
    </w:p>
    <w:p w14:paraId="4D601808" w14:textId="7A86BC20" w:rsidR="006639D2" w:rsidRDefault="006639D2"/>
    <w:p w14:paraId="1DEC13EF" w14:textId="5E4918B2" w:rsidR="006639D2" w:rsidRDefault="006639D2" w:rsidP="006639D2">
      <w:pPr>
        <w:pStyle w:val="ListParagraph"/>
        <w:numPr>
          <w:ilvl w:val="0"/>
          <w:numId w:val="1"/>
        </w:numPr>
      </w:pPr>
      <w:r>
        <w:t>Pooled model: log10(trait) ~ log(</w:t>
      </w:r>
      <w:proofErr w:type="spellStart"/>
      <w:r>
        <w:t>fishStdLength</w:t>
      </w:r>
      <w:proofErr w:type="spellEnd"/>
      <w:r>
        <w:t>)</w:t>
      </w:r>
    </w:p>
    <w:p w14:paraId="3CE21674" w14:textId="71CD9A20" w:rsidR="006639D2" w:rsidRDefault="006639D2" w:rsidP="006639D2">
      <w:pPr>
        <w:pStyle w:val="ListParagraph"/>
        <w:numPr>
          <w:ilvl w:val="0"/>
          <w:numId w:val="1"/>
        </w:numPr>
      </w:pPr>
      <w:r>
        <w:t>Model with common slope, different intercepts: log(trait) ~ log(</w:t>
      </w:r>
      <w:proofErr w:type="spellStart"/>
      <w:r>
        <w:t>fishStdLength</w:t>
      </w:r>
      <w:proofErr w:type="spellEnd"/>
      <w:r>
        <w:t>)+</w:t>
      </w:r>
      <w:proofErr w:type="spellStart"/>
      <w:r>
        <w:t>lakeID</w:t>
      </w:r>
      <w:proofErr w:type="spellEnd"/>
    </w:p>
    <w:p w14:paraId="67D1D5E3" w14:textId="202A3CA9" w:rsidR="006639D2" w:rsidRDefault="006639D2" w:rsidP="006639D2">
      <w:pPr>
        <w:pStyle w:val="ListParagraph"/>
        <w:numPr>
          <w:ilvl w:val="0"/>
          <w:numId w:val="1"/>
        </w:numPr>
      </w:pPr>
      <w:r>
        <w:t>Model with different slopes, different intercepts: log(trait) ~ log(</w:t>
      </w:r>
      <w:proofErr w:type="spellStart"/>
      <w:r>
        <w:t>fishStdLength</w:t>
      </w:r>
      <w:proofErr w:type="spellEnd"/>
      <w:r>
        <w:t>)*</w:t>
      </w:r>
      <w:proofErr w:type="spellStart"/>
      <w:r>
        <w:t>lakeID</w:t>
      </w:r>
      <w:proofErr w:type="spellEnd"/>
    </w:p>
    <w:p w14:paraId="703D796B" w14:textId="24F2D6E7" w:rsidR="006639D2" w:rsidRDefault="006639D2" w:rsidP="006639D2"/>
    <w:p w14:paraId="132B23ED" w14:textId="7374ECF8" w:rsidR="006639D2" w:rsidRDefault="006639D2" w:rsidP="006639D2">
      <w:r>
        <w:t>Use a general linear tests (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) function) to go through the sequence of ANCOVA tests on that sequence of models. Compare c to b to determine whether different slopes are needed; if not, compare b with a to determine whether different intercepts are needed. Document the results of these tests.</w:t>
      </w:r>
    </w:p>
    <w:p w14:paraId="67B3D79C" w14:textId="79635CB3" w:rsidR="006639D2" w:rsidRDefault="006639D2" w:rsidP="006639D2"/>
    <w:p w14:paraId="73E847D8" w14:textId="290007A2" w:rsidR="006639D2" w:rsidRDefault="006639D2" w:rsidP="006639D2">
      <w:r>
        <w:t>If model c or model b is needed, use the coefficient from model b in subsequent calculations. If model a is sufficient, use the coefficient from model a.</w:t>
      </w:r>
    </w:p>
    <w:p w14:paraId="0131A015" w14:textId="67D6EB04" w:rsidR="006639D2" w:rsidRDefault="006639D2" w:rsidP="006639D2"/>
    <w:p w14:paraId="3B02EACC" w14:textId="2B8872D2" w:rsidR="006639D2" w:rsidRDefault="006639D2" w:rsidP="006639D2">
      <w:r>
        <w:t xml:space="preserve">The fact that you use the model b coefficient whether model b or model c is the best fit is weird, but it’s definitely what </w:t>
      </w:r>
      <w:proofErr w:type="spellStart"/>
      <w:r>
        <w:t>Reist</w:t>
      </w:r>
      <w:proofErr w:type="spellEnd"/>
      <w:r>
        <w:t xml:space="preserve"> says. Seems to be an accepted method in the field. Taking it on faith that that’s correct—Andrew seems to know what he’s doing.</w:t>
      </w:r>
    </w:p>
    <w:p w14:paraId="2CA9A488" w14:textId="0319AF68" w:rsidR="006639D2" w:rsidRDefault="006639D2" w:rsidP="006639D2"/>
    <w:p w14:paraId="173EB49B" w14:textId="24363237" w:rsidR="006639D2" w:rsidRPr="006639D2" w:rsidRDefault="006639D2" w:rsidP="006639D2">
      <w:r>
        <w:t xml:space="preserve">The other confusing thing here is that even after fitting a model that includes </w:t>
      </w:r>
      <w:proofErr w:type="spellStart"/>
      <w:r>
        <w:t>lakeID</w:t>
      </w:r>
      <w:proofErr w:type="spellEnd"/>
      <w:r>
        <w:t xml:space="preserve"> as one of the terms (either model b or model c), we still only use the one overall coefficient. We don’t use separate lake-specific coefficients to standardize the trait for fish in each lake separately. Instead, we essentially</w:t>
      </w:r>
      <w:r w:rsidRPr="006639D2">
        <w:t xml:space="preserve"> assume that the allometric coefficient is a constant for the species.</w:t>
      </w:r>
    </w:p>
    <w:p w14:paraId="1DB1D7A0" w14:textId="4AA9C933" w:rsidR="006639D2" w:rsidRDefault="006639D2" w:rsidP="006639D2"/>
    <w:p w14:paraId="6E988C94" w14:textId="0724C757" w:rsidR="006639D2" w:rsidRPr="006639D2" w:rsidRDefault="006639D2" w:rsidP="006639D2">
      <w:pPr>
        <w:rPr>
          <w:b/>
          <w:bCs/>
        </w:rPr>
      </w:pPr>
      <w:r w:rsidRPr="006639D2">
        <w:rPr>
          <w:b/>
          <w:bCs/>
        </w:rPr>
        <w:t>Calculations to size-standardize the trait:</w:t>
      </w:r>
    </w:p>
    <w:p w14:paraId="52FB426A" w14:textId="58E088BE" w:rsidR="006639D2" w:rsidRDefault="006639D2" w:rsidP="006639D2">
      <w:r>
        <w:t>There are two forms of the equation for size-standardization. Here, I’ll show how the two are the same.</w:t>
      </w:r>
    </w:p>
    <w:p w14:paraId="38EAC222" w14:textId="2126556A" w:rsidR="006639D2" w:rsidRDefault="006639D2" w:rsidP="006639D2"/>
    <w:p w14:paraId="56A78CC9" w14:textId="38F092BE" w:rsidR="006639D2" w:rsidRDefault="006639D2" w:rsidP="006639D2">
      <w:r>
        <w:t xml:space="preserve">Variable </w:t>
      </w:r>
      <w:proofErr w:type="spellStart"/>
      <w:r>
        <w:t>shorthands</w:t>
      </w:r>
      <w:proofErr w:type="spellEnd"/>
      <w:r>
        <w:t>:</w:t>
      </w:r>
    </w:p>
    <w:p w14:paraId="75AFF4B4" w14:textId="0ADCDF90" w:rsidR="006639D2" w:rsidRDefault="006639D2" w:rsidP="006639D2">
      <w:proofErr w:type="spellStart"/>
      <w:r>
        <w:t>ts</w:t>
      </w:r>
      <w:proofErr w:type="spellEnd"/>
      <w:r>
        <w:t xml:space="preserve"> = size-standardized trait value</w:t>
      </w:r>
    </w:p>
    <w:p w14:paraId="56793F79" w14:textId="68CEAD88" w:rsidR="006639D2" w:rsidRDefault="006639D2" w:rsidP="006639D2">
      <w:r>
        <w:lastRenderedPageBreak/>
        <w:t>t = trait value for an individual fish</w:t>
      </w:r>
    </w:p>
    <w:p w14:paraId="5BE4331D" w14:textId="5013FEB6" w:rsidR="006639D2" w:rsidRDefault="006639D2" w:rsidP="006639D2">
      <w:r>
        <w:t>c = the chosen model coefficient (see note at the top)</w:t>
      </w:r>
    </w:p>
    <w:p w14:paraId="2A1F7911" w14:textId="147C4B21" w:rsidR="006639D2" w:rsidRDefault="006639D2" w:rsidP="006639D2">
      <w:r>
        <w:t>l =the standard length for an individual fish</w:t>
      </w:r>
    </w:p>
    <w:p w14:paraId="7F5AF073" w14:textId="033536EA" w:rsidR="006639D2" w:rsidRDefault="006639D2" w:rsidP="006639D2">
      <w:r>
        <w:t>m = the mean standard length across all fish in all lakes</w:t>
      </w:r>
    </w:p>
    <w:p w14:paraId="03D9BEEC" w14:textId="67BB11C2" w:rsidR="006639D2" w:rsidRDefault="006639D2" w:rsidP="006639D2"/>
    <w:p w14:paraId="0EA52349" w14:textId="6CF1028E" w:rsidR="00685D31" w:rsidRDefault="00955E82" w:rsidP="006639D2">
      <w:r>
        <w:t>One way to write the calculation (</w:t>
      </w:r>
      <w:proofErr w:type="spellStart"/>
      <w:r>
        <w:t>Reist</w:t>
      </w:r>
      <w:proofErr w:type="spellEnd"/>
      <w:r>
        <w:t>)</w:t>
      </w:r>
    </w:p>
    <w:p w14:paraId="74FBFE7D" w14:textId="62E6CAAE" w:rsidR="00955E82" w:rsidRDefault="00955E82" w:rsidP="006639D2">
      <w:proofErr w:type="spellStart"/>
      <w:r>
        <w:t>ts</w:t>
      </w:r>
      <w:proofErr w:type="spellEnd"/>
      <w:r>
        <w:t xml:space="preserve"> = exp(log(t) – c(log(l) – log(m)))</w:t>
      </w:r>
    </w:p>
    <w:p w14:paraId="4AFA738A" w14:textId="5A82CB7C" w:rsidR="0046032D" w:rsidRDefault="0046032D" w:rsidP="006639D2">
      <m:oMathPara>
        <m:oMath>
          <m:r>
            <w:rPr>
              <w:rFonts w:ascii="Cambria Math" w:hAnsi="Cambria Math"/>
            </w:rPr>
            <m:t>ts=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-c*(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(m))</m:t>
              </m:r>
            </m:sup>
          </m:sSup>
        </m:oMath>
      </m:oMathPara>
    </w:p>
    <w:p w14:paraId="0F485E68" w14:textId="77777777" w:rsidR="00955E82" w:rsidRDefault="00955E82" w:rsidP="006639D2"/>
    <w:p w14:paraId="678B94C3" w14:textId="665A6597" w:rsidR="00955E82" w:rsidRDefault="00955E82" w:rsidP="006639D2">
      <w:r>
        <w:t>Another way to write the same calculation (</w:t>
      </w:r>
      <w:proofErr w:type="spellStart"/>
      <w:r>
        <w:t>Kaeuffer</w:t>
      </w:r>
      <w:proofErr w:type="spellEnd"/>
      <w:r>
        <w:t>)</w:t>
      </w:r>
    </w:p>
    <w:p w14:paraId="429F5F94" w14:textId="28190523" w:rsidR="0046032D" w:rsidRDefault="0046032D" w:rsidP="006639D2">
      <m:oMathPara>
        <m:oMath>
          <m:r>
            <w:rPr>
              <w:rFonts w:ascii="Cambria Math" w:hAnsi="Cambria Math"/>
            </w:rPr>
            <m:t>ts=t*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58C4EBE5" w14:textId="159A91E7" w:rsidR="00955E82" w:rsidRDefault="00955E82" w:rsidP="006639D2"/>
    <w:p w14:paraId="65DBF8FF" w14:textId="3208399F" w:rsidR="00955E82" w:rsidRDefault="00955E82" w:rsidP="006639D2">
      <w:r>
        <w:t>Here’s math showing how we can get from the second form to the first (they are indeed equivalent)</w:t>
      </w:r>
    </w:p>
    <w:p w14:paraId="00976899" w14:textId="4B947545" w:rsidR="00955E82" w:rsidRDefault="00955E82" w:rsidP="006639D2"/>
    <w:p w14:paraId="58E06123" w14:textId="6A77ABD2" w:rsidR="00955E82" w:rsidRPr="0046032D" w:rsidRDefault="0046032D" w:rsidP="004603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ts=t*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Kaeuffer</w:t>
      </w:r>
      <w:proofErr w:type="spellEnd"/>
      <w:r>
        <w:rPr>
          <w:rFonts w:eastAsiaTheme="minorEastAsia"/>
        </w:rPr>
        <w:t xml:space="preserve"> equation)</w:t>
      </w:r>
    </w:p>
    <w:p w14:paraId="4392B070" w14:textId="7516D8A5" w:rsidR="0046032D" w:rsidRDefault="0046032D" w:rsidP="004603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ts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t*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(take the log of both sides)</w:t>
      </w:r>
    </w:p>
    <w:p w14:paraId="4E423342" w14:textId="48F05225" w:rsidR="0046032D" w:rsidRDefault="0046032D" w:rsidP="004603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t*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(exponentiate both sides)</w:t>
      </w:r>
    </w:p>
    <w:p w14:paraId="39010396" w14:textId="221FB738" w:rsidR="0046032D" w:rsidRPr="0046032D" w:rsidRDefault="0046032D" w:rsidP="004603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(product rule)</w:t>
      </w:r>
    </w:p>
    <w:p w14:paraId="0284A119" w14:textId="00094366" w:rsidR="0046032D" w:rsidRPr="0046032D" w:rsidRDefault="0046032D" w:rsidP="004603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c*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(power rule)</w:t>
      </w:r>
    </w:p>
    <w:p w14:paraId="264569A0" w14:textId="1EA9A8EA" w:rsidR="0046032D" w:rsidRDefault="0046032D" w:rsidP="004603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>+c*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-log⁡(l))</m:t>
            </m:r>
          </m:sup>
        </m:sSup>
      </m:oMath>
      <w:r>
        <w:rPr>
          <w:rFonts w:eastAsiaTheme="minorEastAsia"/>
        </w:rPr>
        <w:t xml:space="preserve"> (quotient rule)</w:t>
      </w:r>
    </w:p>
    <w:p w14:paraId="46013FFF" w14:textId="6034CC09" w:rsidR="0046032D" w:rsidRPr="0046032D" w:rsidRDefault="0046032D" w:rsidP="004603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c*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-log⁡(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sup>
        </m:sSup>
      </m:oMath>
      <w:r>
        <w:rPr>
          <w:rFonts w:eastAsiaTheme="minorEastAsia"/>
        </w:rPr>
        <w:t xml:space="preserve"> (factor out a -1 to give us the </w:t>
      </w:r>
      <w:proofErr w:type="spellStart"/>
      <w:r>
        <w:rPr>
          <w:rFonts w:eastAsiaTheme="minorEastAsia"/>
        </w:rPr>
        <w:t>Reist</w:t>
      </w:r>
      <w:proofErr w:type="spellEnd"/>
      <w:r>
        <w:rPr>
          <w:rFonts w:eastAsiaTheme="minorEastAsia"/>
        </w:rPr>
        <w:t xml:space="preserve"> equation)</w:t>
      </w:r>
    </w:p>
    <w:sectPr w:rsidR="0046032D" w:rsidRPr="0046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B7AE5"/>
    <w:multiLevelType w:val="hybridMultilevel"/>
    <w:tmpl w:val="6084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00490"/>
    <w:multiLevelType w:val="hybridMultilevel"/>
    <w:tmpl w:val="826623F8"/>
    <w:lvl w:ilvl="0" w:tplc="2A8495F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E5820"/>
    <w:multiLevelType w:val="hybridMultilevel"/>
    <w:tmpl w:val="B6B2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8"/>
    <w:rsid w:val="00081818"/>
    <w:rsid w:val="0046032D"/>
    <w:rsid w:val="005C0177"/>
    <w:rsid w:val="006639D2"/>
    <w:rsid w:val="00685D31"/>
    <w:rsid w:val="008A37F5"/>
    <w:rsid w:val="00955E82"/>
    <w:rsid w:val="00D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B042"/>
  <w15:chartTrackingRefBased/>
  <w15:docId w15:val="{E30B9422-C75F-3B48-8538-243F4990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0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2021-04-28T14:25:00Z</dcterms:created>
  <dcterms:modified xsi:type="dcterms:W3CDTF">2021-04-28T14:59:00Z</dcterms:modified>
</cp:coreProperties>
</file>