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TriX</w:t>
      </w:r>
    </w:p>
    <w:p>
      <w:pPr>
        <w:pStyle w:val="Subtitle"/>
      </w:pPr>
      <w:r>
        <w:t>Normas para a conceção da linguagem e da plataforma de execução</w:t>
      </w:r>
    </w:p>
    <w:p>
      <w:pPr>
        <w:pStyle w:val="Metadata"/>
      </w:pPr>
      <w:r>
        <w:t>Versão 0.1 | 22 de outubro de 2026</w:t>
        <w:br/>
        <w:t>Proposta para adoção</w:t>
      </w:r>
    </w:p>
    <w:p>
      <w:r>
        <w:t>A TriX é a linguagem e o conjunto de contratos de execução que pretendemos desenvolver para organizar projetos, tarefas e recursos distribuídos. Ela deve combinar uma escrita acessível, verificações fortes e integração com motores existentes, permitindo utilizar terminais e clusters de diferentes fabricantes.</w:t>
      </w:r>
    </w:p>
    <w:p>
      <w:r>
        <w:t>Este documento estabelece a base de conceção, o comportamento esperado e os critérios de conformidade para a etapa de criação. Destina-se a quem especifica a linguagem, implementa o compilador ou interpretador, desenvolve executores, cria adaptadores e valida o produto. A arquitetura Mac e NVIDIA é a primeira referência de instalação; a linguagem deve admitir outras configurações.</w:t>
      </w:r>
    </w:p>
    <w:p>
      <w:r>
        <w:t>O nome e a referência no feminino estão definidos. As disposições técnicas seguintes constituem uma proposta normativa organizada para adoção e evolução. A versão 0.1 não certifica uma implementação, não fixa a gramática final e não declara suporte já disponível para qualquer combinação de hardware e software.</w:t>
      </w:r>
    </w:p>
    <w:p>
      <w:pPr>
        <w:pStyle w:val="Heading2"/>
      </w:pPr>
      <w:r>
        <w:t>Utilização do documento</w:t>
      </w:r>
    </w:p>
    <w:p>
      <w:r>
        <w:t>A equipa deve adotar uma revisão, selecionar os perfis aplicáveis e ligar os requisitos identificados à implementação e à evidência de validação. As decisões ainda abertas constam do capítulo 16.</w:t>
      </w:r>
    </w:p>
    <w:p>
      <w:r>
        <w:t>Os exemplos do capítulo 17 são ilustrativos. A fonte normativa é o texto dos requisitos, interpretado segundo o capítulo 2.</w:t>
      </w:r>
    </w:p>
    <w:p>
      <w:pPr>
        <w:pStyle w:val="Metadata"/>
      </w:pPr>
      <w:r>
        <w:t>Conteúdo: 127 requisitos identificados, 24 cenários de aceitação, 19 capítulos e 24 referências técnicas.</w:t>
      </w:r>
    </w:p>
    <w:p>
      <w:r>
        <w:br w:type="page"/>
      </w:r>
    </w:p>
    <w:p>
      <w:pPr>
        <w:pStyle w:val="Heading1"/>
      </w:pPr>
      <w:r>
        <w:t>Índice</w:t>
      </w:r>
    </w:p>
    <w:p>
      <w:pPr>
        <w:pStyle w:val="ContentsEntry"/>
      </w:pPr>
      <w:hyperlink w:anchor="chapter_1">
        <w:r>
          <w:rPr>
            <w:rFonts w:ascii="Nimbus Sans" w:hAnsi="Nimbus Sans"/>
            <w:color w:val="000000"/>
          </w:rPr>
          <w:t xml:space="preserve">1 Identidade e propósito</w:t>
        </w:r>
      </w:hyperlink>
      <w:r>
        <w:tab/>
        <w:t>3</w:t>
      </w:r>
    </w:p>
    <w:p>
      <w:pPr>
        <w:pStyle w:val="ContentsEntry"/>
      </w:pPr>
      <w:hyperlink w:anchor="chapter_2">
        <w:r>
          <w:rPr>
            <w:rFonts w:ascii="Nimbus Sans" w:hAnsi="Nimbus Sans"/>
            <w:color w:val="000000"/>
          </w:rPr>
          <w:t xml:space="preserve">2 Força normativa e controlo do documento</w:t>
        </w:r>
      </w:hyperlink>
      <w:r>
        <w:tab/>
        <w:t>3</w:t>
      </w:r>
    </w:p>
    <w:p>
      <w:pPr>
        <w:pStyle w:val="ContentsEntry"/>
      </w:pPr>
      <w:hyperlink w:anchor="chapter_3">
        <w:r>
          <w:rPr>
            <w:rFonts w:ascii="Nimbus Sans" w:hAnsi="Nimbus Sans"/>
            <w:color w:val="000000"/>
          </w:rPr>
          <w:t xml:space="preserve">3 Âmbito inicial e objetivos de conceção</w:t>
        </w:r>
      </w:hyperlink>
      <w:r>
        <w:tab/>
        <w:t>4</w:t>
      </w:r>
    </w:p>
    <w:p>
      <w:pPr>
        <w:pStyle w:val="ContentsEntry"/>
      </w:pPr>
      <w:hyperlink w:anchor="chapter_4">
        <w:r>
          <w:rPr>
            <w:rFonts w:ascii="Nimbus Sans" w:hAnsi="Nimbus Sans"/>
            <w:color w:val="000000"/>
          </w:rPr>
          <w:t xml:space="preserve">4 Arquitetura lógica e configurações físicas</w:t>
        </w:r>
      </w:hyperlink>
      <w:r>
        <w:tab/>
        <w:t>5</w:t>
      </w:r>
    </w:p>
    <w:p>
      <w:pPr>
        <w:pStyle w:val="ContentsEntry"/>
      </w:pPr>
      <w:hyperlink w:anchor="chapter_5">
        <w:r>
          <w:rPr>
            <w:rFonts w:ascii="Nimbus Sans" w:hAnsi="Nimbus Sans"/>
            <w:color w:val="000000"/>
          </w:rPr>
          <w:t xml:space="preserve">5 Semântica e sistema de tipos</w:t>
        </w:r>
      </w:hyperlink>
      <w:r>
        <w:tab/>
        <w:t>6</w:t>
      </w:r>
    </w:p>
    <w:p>
      <w:pPr>
        <w:pStyle w:val="ContentsEntry"/>
      </w:pPr>
      <w:hyperlink w:anchor="chapter_6">
        <w:r>
          <w:rPr>
            <w:rFonts w:ascii="Nimbus Sans" w:hAnsi="Nimbus Sans"/>
            <w:color w:val="000000"/>
          </w:rPr>
          <w:t xml:space="preserve">6 Concorrência e interoperabilidade</w:t>
        </w:r>
      </w:hyperlink>
      <w:r>
        <w:tab/>
        <w:t>7</w:t>
      </w:r>
    </w:p>
    <w:p>
      <w:pPr>
        <w:pStyle w:val="ContentsEntry"/>
      </w:pPr>
      <w:hyperlink w:anchor="chapter_7">
        <w:r>
          <w:rPr>
            <w:rFonts w:ascii="Nimbus Sans" w:hAnsi="Nimbus Sans"/>
            <w:color w:val="000000"/>
          </w:rPr>
          <w:t xml:space="preserve">7 Autoridade e auditoria</w:t>
        </w:r>
      </w:hyperlink>
      <w:r>
        <w:tab/>
        <w:t>8</w:t>
      </w:r>
    </w:p>
    <w:p>
      <w:pPr>
        <w:pStyle w:val="ContentsEntry"/>
      </w:pPr>
      <w:hyperlink w:anchor="chapter_8">
        <w:r>
          <w:rPr>
            <w:rFonts w:ascii="Nimbus Sans" w:hAnsi="Nimbus Sans"/>
            <w:color w:val="000000"/>
          </w:rPr>
          <w:t xml:space="preserve">8 Contratos de tarefas e tratamento de falhas</w:t>
        </w:r>
      </w:hyperlink>
      <w:r>
        <w:tab/>
        <w:t>9</w:t>
      </w:r>
    </w:p>
    <w:p>
      <w:pPr>
        <w:pStyle w:val="ContentsEntry"/>
      </w:pPr>
      <w:hyperlink w:anchor="chapter_9">
        <w:r>
          <w:rPr>
            <w:rFonts w:ascii="Nimbus Sans" w:hAnsi="Nimbus Sans"/>
            <w:color w:val="000000"/>
          </w:rPr>
          <w:t xml:space="preserve">9 Dados modelos e memória</w:t>
        </w:r>
      </w:hyperlink>
      <w:r>
        <w:tab/>
        <w:t>10</w:t>
      </w:r>
    </w:p>
    <w:p>
      <w:pPr>
        <w:pStyle w:val="ContentsEntry"/>
      </w:pPr>
      <w:hyperlink w:anchor="chapter_10">
        <w:r>
          <w:rPr>
            <w:rFonts w:ascii="Nimbus Sans" w:hAnsi="Nimbus Sans"/>
            <w:color w:val="000000"/>
          </w:rPr>
          <w:t xml:space="preserve">10 Recursos prioridades e seleção de destinos</w:t>
        </w:r>
      </w:hyperlink>
      <w:r>
        <w:tab/>
        <w:t>11</w:t>
      </w:r>
    </w:p>
    <w:p>
      <w:pPr>
        <w:pStyle w:val="ContentsEntry"/>
      </w:pPr>
      <w:hyperlink w:anchor="chapter_11">
        <w:r>
          <w:rPr>
            <w:rFonts w:ascii="Nimbus Sans" w:hAnsi="Nimbus Sans"/>
            <w:color w:val="000000"/>
          </w:rPr>
          <w:t xml:space="preserve">11 Plataformas e compatibilidade</w:t>
        </w:r>
      </w:hyperlink>
      <w:r>
        <w:tab/>
        <w:t>12</w:t>
      </w:r>
    </w:p>
    <w:p>
      <w:pPr>
        <w:pStyle w:val="ContentsEntry"/>
      </w:pPr>
      <w:hyperlink w:anchor="chapter_12">
        <w:r>
          <w:rPr>
            <w:rFonts w:ascii="Nimbus Sans" w:hAnsi="Nimbus Sans"/>
            <w:color w:val="000000"/>
          </w:rPr>
          <w:t xml:space="preserve">12 Aceleradores gestores e fornecedores remotos</w:t>
        </w:r>
      </w:hyperlink>
      <w:r>
        <w:tab/>
        <w:t>14</w:t>
      </w:r>
    </w:p>
    <w:p>
      <w:pPr>
        <w:pStyle w:val="ContentsEntry"/>
      </w:pPr>
      <w:hyperlink w:anchor="chapter_13">
        <w:r>
          <w:rPr>
            <w:rFonts w:ascii="Nimbus Sans" w:hAnsi="Nimbus Sans"/>
            <w:color w:val="000000"/>
          </w:rPr>
          <w:t xml:space="preserve">13 Versões distribuição e atualizações</w:t>
        </w:r>
      </w:hyperlink>
      <w:r>
        <w:tab/>
        <w:t>15</w:t>
      </w:r>
    </w:p>
    <w:p>
      <w:pPr>
        <w:pStyle w:val="ContentsEntry"/>
      </w:pPr>
      <w:hyperlink w:anchor="chapter_14">
        <w:r>
          <w:rPr>
            <w:rFonts w:ascii="Nimbus Sans" w:hAnsi="Nimbus Sans"/>
            <w:color w:val="000000"/>
          </w:rPr>
          <w:t xml:space="preserve">14 Ferramentas documentação e experiência de utilização</w:t>
        </w:r>
      </w:hyperlink>
      <w:r>
        <w:tab/>
        <w:t>17</w:t>
      </w:r>
    </w:p>
    <w:p>
      <w:pPr>
        <w:pStyle w:val="ContentsEntry"/>
      </w:pPr>
      <w:hyperlink w:anchor="chapter_15">
        <w:r>
          <w:rPr>
            <w:rFonts w:ascii="Nimbus Sans" w:hAnsi="Nimbus Sans"/>
            <w:color w:val="000000"/>
          </w:rPr>
          <w:t xml:space="preserve">15 Qualidade e critérios de aceitação</w:t>
        </w:r>
      </w:hyperlink>
      <w:r>
        <w:tab/>
        <w:t>18</w:t>
      </w:r>
    </w:p>
    <w:p>
      <w:pPr>
        <w:pStyle w:val="ContentsEntry"/>
      </w:pPr>
      <w:hyperlink w:anchor="chapter_16">
        <w:r>
          <w:rPr>
            <w:rFonts w:ascii="Nimbus Sans" w:hAnsi="Nimbus Sans"/>
            <w:color w:val="000000"/>
          </w:rPr>
          <w:t xml:space="preserve">16 Etapas de criação e decisões pendentes</w:t>
        </w:r>
      </w:hyperlink>
      <w:r>
        <w:tab/>
        <w:t>20</w:t>
      </w:r>
    </w:p>
    <w:p>
      <w:pPr>
        <w:pStyle w:val="ContentsEntry"/>
      </w:pPr>
      <w:hyperlink w:anchor="chapter_17">
        <w:r>
          <w:rPr>
            <w:rFonts w:ascii="Nimbus Sans" w:hAnsi="Nimbus Sans"/>
            <w:color w:val="000000"/>
          </w:rPr>
          <w:t xml:space="preserve">17 Exemplos ilustrativos</w:t>
        </w:r>
      </w:hyperlink>
      <w:r>
        <w:tab/>
        <w:t>22</w:t>
      </w:r>
    </w:p>
    <w:p>
      <w:pPr>
        <w:pStyle w:val="ContentsEntry"/>
      </w:pPr>
      <w:hyperlink w:anchor="chapter_18">
        <w:r>
          <w:rPr>
            <w:rFonts w:ascii="Nimbus Sans" w:hAnsi="Nimbus Sans"/>
            <w:color w:val="000000"/>
          </w:rPr>
          <w:t xml:space="preserve">18 Glossário</w:t>
        </w:r>
      </w:hyperlink>
      <w:r>
        <w:tab/>
        <w:t>23</w:t>
      </w:r>
    </w:p>
    <w:p>
      <w:pPr>
        <w:pStyle w:val="ContentsEntry"/>
      </w:pPr>
      <w:hyperlink w:anchor="chapter_19">
        <w:r>
          <w:rPr>
            <w:rFonts w:ascii="Nimbus Sans" w:hAnsi="Nimbus Sans"/>
            <w:color w:val="000000"/>
          </w:rPr>
          <w:t xml:space="preserve">19 Fontes técnicas</w:t>
        </w:r>
      </w:hyperlink>
      <w:r>
        <w:tab/>
        <w:t>24</w:t>
      </w:r>
    </w:p>
    <w:p>
      <w:pPr>
        <w:pStyle w:val="Metadata"/>
      </w:pPr>
      <w:r>
        <w:t>Os títulos do índice e as referências entre parênteses retos são ligações internas na versão editável.</w:t>
      </w:r>
    </w:p>
    <w:p>
      <w:r>
        <w:br w:type="page"/>
      </w:r>
    </w:p>
    <w:p>
      <w:bookmarkStart w:id="1" w:name="chapter_1"/>
      <w:pPr>
        <w:pStyle w:val="Heading1"/>
      </w:pPr>
      <w:r>
        <w:t>1 Identidade e propósito</w:t>
      </w:r>
      <w:bookmarkEnd w:id="1"/>
    </w:p>
    <w:p>
      <w:r>
        <w:t>A grafia oficial é TriX. O nome explora a proximidade fonética com a palavra inglesa tricks e a ideia de um pequeno truque de transformação: descrever trabalho de forma clara e transformá-lo em execução adequada aos recursos disponíveis. A associação a um nome feminino e o seu apelo fazem parte da intenção criativa indicada pelo proponente.</w:t>
      </w:r>
    </w:p>
    <w:p>
      <w:bookmarkStart w:id="2" w:name="IDN_001"/>
      <w:pPr>
        <w:pStyle w:val="Requirement"/>
      </w:pPr>
      <w:r>
        <w:rPr>
          <w:b/>
        </w:rPr>
        <w:t>IDN-001 Identidade.</w:t>
      </w:r>
      <w:r>
        <w:t xml:space="preserve"> A linguagem DEVE ser designada por TriX, preservando as maiúsculas T e X. Na documentação em português, ela DEVE ser referida no feminino, por exemplo, a TriX, ela e a linguagem TriX. Identificadores técnicos podem adotar a normalização definida pelo respetivo formato.</w:t>
      </w:r>
      <w:bookmarkEnd w:id="2"/>
    </w:p>
    <w:p>
      <w:bookmarkStart w:id="3" w:name="IDN_002"/>
      <w:pPr>
        <w:pStyle w:val="Requirement"/>
      </w:pPr>
      <w:r>
        <w:rPr>
          <w:b/>
        </w:rPr>
        <w:t>IDN-002 Finalidade.</w:t>
      </w:r>
      <w:r>
        <w:t xml:space="preserve"> A TriX DEVE permitir descrever, validar, planear, executar e observar trabalho distribuído, incluindo modelos de IA, ferramentas e processamento de dados. Ela DEVE tornar explícitas as condições de autorização, localização dos dados, compatibilidade e utilização de recursos.</w:t>
      </w:r>
      <w:bookmarkEnd w:id="3"/>
    </w:p>
    <w:p>
      <w:bookmarkStart w:id="4" w:name="IDN_003"/>
      <w:pPr>
        <w:pStyle w:val="Requirement"/>
      </w:pPr>
      <w:r>
        <w:rPr>
          <w:b/>
        </w:rPr>
        <w:t>IDN-003 Independência.</w:t>
      </w:r>
      <w:r>
        <w:t xml:space="preserve"> A linguagem, o protocolo central e os dados de projeto NÃO DEVEM exigir um fabricante, sistema operativo, fornecedor de modelos ou gestor de cluster exclusivo. Uma extensão especializada PODE depender de um fornecedor, desde que essa dependência seja declarada.</w:t>
      </w:r>
      <w:bookmarkEnd w:id="4"/>
    </w:p>
    <w:p>
      <w:bookmarkStart w:id="5" w:name="IDN_004"/>
      <w:pPr>
        <w:pStyle w:val="Requirement"/>
      </w:pPr>
      <w:r>
        <w:rPr>
          <w:b/>
        </w:rPr>
        <w:t>IDN-004 Continuidade dos projetos.</w:t>
      </w:r>
      <w:r>
        <w:t xml:space="preserve"> Mudar a infraestrutura DEVE preservar os projetos e programas cuja semântica e requisitos continuem satisfeitos. Se a nova instalação não satisfizer um requisito, a TriX DEVE explicar a incompatibilidade antes de iniciar os efeitos da tarefa.</w:t>
      </w:r>
      <w:bookmarkEnd w:id="5"/>
    </w:p>
    <w:p>
      <w:r>
        <w:t>A facilidade de utilização deve resultar da clareza dos contratos e dos diagnósticos. O apelo do nome não altera as obrigações de precisão técnica, legibilidade e comportamento previsível.</w:t>
      </w:r>
    </w:p>
    <w:p>
      <w:bookmarkStart w:id="6" w:name="chapter_2"/>
      <w:pPr>
        <w:pStyle w:val="Heading1"/>
      </w:pPr>
      <w:r>
        <w:t>2 Força normativa e controlo do documento</w:t>
      </w:r>
      <w:bookmarkEnd w:id="6"/>
    </w:p>
    <w:p>
      <w:r>
        <w:t>As palavras em maiúsculas têm o significado definido nesta secção. As frases explicativas, exemplos e referências externas são informativos, salvo quando um requisito os incorpora expressamente.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2261"/>
        <w:gridCol w:w="7618"/>
      </w:tblGrid>
      <w:tr>
        <w:trPr>
          <w:cantSplit/>
          <w:tblHeader w:val="true"/>
        </w:trPr>
        <w:tc>
          <w:tcPr>
            <w:tcW w:type="dxa" w:w="2261"/>
            <w:vAlign w:val="center"/>
            <w:shd w:fill="26313D" w:val="clear"/>
          </w:tcPr>
          <w:p>
            <w:pPr>
              <w:pStyle w:val="Tabletext"/>
              <w:jc w:val="center"/>
            </w:pPr>
            <w:r>
              <w:rPr>
                <w:b/>
                <w:color w:val="FFFFFF"/>
              </w:rPr>
              <w:t>Expressão</w:t>
            </w:r>
          </w:p>
        </w:tc>
        <w:tc>
          <w:tcPr>
            <w:tcW w:type="dxa" w:w="7618"/>
            <w:vAlign w:val="center"/>
            <w:shd w:fill="26313D" w:val="clear"/>
          </w:tcPr>
          <w:p>
            <w:pPr>
              <w:pStyle w:val="Tabletext"/>
            </w:pPr>
            <w:r>
              <w:rPr>
                <w:b/>
                <w:color w:val="FFFFFF"/>
              </w:rPr>
              <w:t>Significado</w:t>
            </w:r>
          </w:p>
        </w:tc>
      </w:tr>
      <w:tr>
        <w:trPr>
          <w:cantSplit/>
        </w:trPr>
        <w:tc>
          <w:tcPr>
            <w:tcW w:type="dxa" w:w="2261"/>
            <w:vAlign w:val="center"/>
            <w:shd w:fill="FFFFFF" w:val="clear"/>
          </w:tcPr>
          <w:p>
            <w:pPr>
              <w:pStyle w:val="Tabletext"/>
              <w:jc w:val="center"/>
            </w:pPr>
            <w:r>
              <w:t>DEVE ou DEVEM</w:t>
            </w:r>
          </w:p>
        </w:tc>
        <w:tc>
          <w:tcPr>
            <w:tcW w:type="dxa" w:w="7618"/>
            <w:vAlign w:val="center"/>
            <w:shd w:fill="FFFFFF" w:val="clear"/>
          </w:tcPr>
          <w:p>
            <w:pPr>
              <w:pStyle w:val="Tabletext"/>
            </w:pPr>
            <w:r>
              <w:t>Requisito obrigatório para conformidade com a revisão e o perfil adotados</w:t>
            </w:r>
          </w:p>
        </w:tc>
      </w:tr>
      <w:tr>
        <w:trPr>
          <w:cantSplit/>
        </w:trPr>
        <w:tc>
          <w:tcPr>
            <w:tcW w:type="dxa" w:w="2261"/>
            <w:vAlign w:val="center"/>
            <w:shd w:fill="F2F5F7" w:val="clear"/>
          </w:tcPr>
          <w:p>
            <w:pPr>
              <w:pStyle w:val="Tabletext"/>
            </w:pPr>
            <w:r>
              <w:t>NÃO DEVE ou NÃO DEVEM</w:t>
            </w:r>
          </w:p>
        </w:tc>
        <w:tc>
          <w:tcPr>
            <w:tcW w:type="dxa" w:w="7618"/>
            <w:vAlign w:val="center"/>
            <w:shd w:fill="F2F5F7" w:val="clear"/>
          </w:tcPr>
          <w:p>
            <w:pPr>
              <w:pStyle w:val="Tabletext"/>
            </w:pPr>
            <w:r>
              <w:t>Comportamento proibido nesse âmbito de conformidade</w:t>
            </w:r>
          </w:p>
        </w:tc>
      </w:tr>
      <w:tr>
        <w:trPr>
          <w:cantSplit/>
        </w:trPr>
        <w:tc>
          <w:tcPr>
            <w:tcW w:type="dxa" w:w="2261"/>
            <w:vAlign w:val="center"/>
            <w:shd w:fill="FFFFFF" w:val="clear"/>
          </w:tcPr>
          <w:p>
            <w:pPr>
              <w:pStyle w:val="Tabletext"/>
              <w:jc w:val="center"/>
            </w:pPr>
            <w:r>
              <w:t>RECOMENDA-SE</w:t>
            </w:r>
          </w:p>
        </w:tc>
        <w:tc>
          <w:tcPr>
            <w:tcW w:type="dxa" w:w="7618"/>
            <w:vAlign w:val="center"/>
            <w:shd w:fill="FFFFFF" w:val="clear"/>
          </w:tcPr>
          <w:p>
            <w:pPr>
              <w:pStyle w:val="Tabletext"/>
            </w:pPr>
            <w:r>
              <w:t>Orientação cuja exceção exige justificação e registo</w:t>
            </w:r>
          </w:p>
        </w:tc>
      </w:tr>
      <w:tr>
        <w:trPr>
          <w:cantSplit/>
        </w:trPr>
        <w:tc>
          <w:tcPr>
            <w:tcW w:type="dxa" w:w="2261"/>
            <w:vAlign w:val="center"/>
            <w:shd w:fill="F2F5F7" w:val="clear"/>
          </w:tcPr>
          <w:p>
            <w:pPr>
              <w:pStyle w:val="Tabletext"/>
              <w:jc w:val="center"/>
            </w:pPr>
            <w:r>
              <w:t>PODE ou PODEM</w:t>
            </w:r>
          </w:p>
        </w:tc>
        <w:tc>
          <w:tcPr>
            <w:tcW w:type="dxa" w:w="7618"/>
            <w:vAlign w:val="center"/>
            <w:shd w:fill="F2F5F7" w:val="clear"/>
          </w:tcPr>
          <w:p>
            <w:pPr>
              <w:pStyle w:val="Tabletext"/>
            </w:pPr>
            <w:r>
              <w:t>Capacidade opcional, sujeita aos contratos aplicáveis</w:t>
            </w:r>
          </w:p>
        </w:tc>
      </w:tr>
      <w:tr>
        <w:trPr>
          <w:cantSplit/>
        </w:trPr>
        <w:tc>
          <w:tcPr>
            <w:tcW w:type="dxa" w:w="2261"/>
            <w:vAlign w:val="center"/>
            <w:shd w:fill="FFFFFF" w:val="clear"/>
          </w:tcPr>
          <w:p>
            <w:pPr>
              <w:pStyle w:val="Tabletext"/>
              <w:jc w:val="center"/>
            </w:pPr>
            <w:r>
              <w:t>Pendente</w:t>
            </w:r>
          </w:p>
        </w:tc>
        <w:tc>
          <w:tcPr>
            <w:tcW w:type="dxa" w:w="7618"/>
            <w:vAlign w:val="center"/>
            <w:shd w:fill="FFFFFF" w:val="clear"/>
          </w:tcPr>
          <w:p>
            <w:pPr>
              <w:pStyle w:val="Tabletext"/>
            </w:pPr>
            <w:r>
              <w:t>Escolha ainda não fixada por esta revisão</w:t>
            </w:r>
          </w:p>
        </w:tc>
      </w:tr>
      <w:tr>
        <w:trPr>
          <w:cantSplit/>
        </w:trPr>
        <w:tc>
          <w:tcPr>
            <w:tcW w:type="dxa" w:w="2261"/>
            <w:vAlign w:val="center"/>
            <w:shd w:fill="F2F5F7" w:val="clear"/>
          </w:tcPr>
          <w:p>
            <w:pPr>
              <w:pStyle w:val="Tabletext"/>
              <w:jc w:val="center"/>
            </w:pPr>
            <w:r>
              <w:t>Ilustrativo</w:t>
            </w:r>
          </w:p>
        </w:tc>
        <w:tc>
          <w:tcPr>
            <w:tcW w:type="dxa" w:w="7618"/>
            <w:vAlign w:val="center"/>
            <w:shd w:fill="F2F5F7" w:val="clear"/>
          </w:tcPr>
          <w:p>
            <w:pPr>
              <w:pStyle w:val="Tabletext"/>
            </w:pPr>
            <w:r>
              <w:t>Exemplo que não estabelece gramática nem garantia de implementação</w:t>
            </w:r>
          </w:p>
        </w:tc>
      </w:tr>
    </w:tbl>
    <w:p>
      <w:pPr>
        <w:spacing w:after="20" w:before="0" w:line="60" w:lineRule="exact"/>
      </w:pPr>
      <w:r>
        <w:rPr>
          <w:sz w:val="6"/>
        </w:rPr>
      </w:r>
    </w:p>
    <w:p>
      <w:bookmarkStart w:id="7" w:name="NOR_001"/>
      <w:pPr>
        <w:pStyle w:val="Requirement"/>
      </w:pPr>
      <w:r>
        <w:rPr>
          <w:b/>
        </w:rPr>
        <w:t>NOR-001 Revisão adotada.</w:t>
      </w:r>
      <w:r>
        <w:t xml:space="preserve"> Cada implementação DEVE declarar a revisão da especificação e os perfis que pretende cumprir. A adoção desta proposta e as alterações posteriores DEVEM ficar registadas pelo responsável do projeto. Não se presume aprovação formal apenas pela existência do documento.</w:t>
      </w:r>
      <w:bookmarkEnd w:id="7"/>
    </w:p>
    <w:p>
      <w:bookmarkStart w:id="8" w:name="NOR_002"/>
      <w:pPr>
        <w:pStyle w:val="Requirement"/>
      </w:pPr>
      <w:r>
        <w:rPr>
          <w:b/>
        </w:rPr>
        <w:t>NOR-002 Rastreabilidade.</w:t>
      </w:r>
      <w:r>
        <w:t xml:space="preserve"> Os identificadores dos requisitos DEVEM permanecer estáveis. Cada entrega DEVE relacionar os requisitos aplicáveis com implementação, testes e limitações. Um requisito retirado DEVE ser marcado como substituído ou revogado; o seu identificador não deve ser reutilizado.</w:t>
      </w:r>
      <w:bookmarkEnd w:id="8"/>
    </w:p>
    <w:p>
      <w:bookmarkStart w:id="9" w:name="NOR_003"/>
      <w:pPr>
        <w:pStyle w:val="Requirement"/>
      </w:pPr>
      <w:r>
        <w:rPr>
          <w:b/>
        </w:rPr>
        <w:t>NOR-003 Alterações.</w:t>
      </w:r>
      <w:r>
        <w:t xml:space="preserve"> Decisões que alterem semântica, autoridade, compatibilidade ou garantias DEVEM ser acompanhadas por um registo de decisão de arquitetura, designado ADR, com motivação, alternativas, impacto, migração e evidência de validação.</w:t>
      </w:r>
      <w:bookmarkEnd w:id="9"/>
    </w:p>
    <w:p>
      <w:bookmarkStart w:id="10" w:name="NOR_004"/>
      <w:pPr>
        <w:pStyle w:val="Requirement"/>
      </w:pPr>
      <w:r>
        <w:rPr>
          <w:b/>
        </w:rPr>
        <w:t>NOR-004 Perfis.</w:t>
      </w:r>
      <w:r>
        <w:t xml:space="preserve"> A conformidade DEVE distinguir o núcleo da linguagem, a coordenação, a execução local, a execução distribuída, o acesso remoto e os clientes de controlo. Cada perfil DEVE publicar requisitos obrigatórios, capacidades opcionais e dependências de outros perfis antes de qualquer declaração de conformidade. Uma implementação NÃO DEVE excluir requisitos necessários às capacidades que efetivamente disponibiliza.</w:t>
      </w:r>
      <w:bookmarkEnd w:id="10"/>
    </w:p>
    <w:p>
      <w:bookmarkStart w:id="11" w:name="NOR_005"/>
      <w:pPr>
        <w:pStyle w:val="Requirement"/>
      </w:pPr>
      <w:r>
        <w:rPr>
          <w:b/>
        </w:rPr>
        <w:t>NOR-005 Exceções.</w:t>
      </w:r>
      <w:r>
        <w:t xml:space="preserve"> Uma exceção a uma recomendação DEVE ter fundamento documentado. Uma implementação que viole um requisito obrigatório NÃO DEVE declarar conformidade integral com o perfil afetado. As decisões pendentes DEVEM ser resolvidas antes da estabilização da funcionalidade correspondente.</w:t>
      </w:r>
      <w:bookmarkEnd w:id="11"/>
    </w:p>
    <w:p>
      <w:r>
        <w:t>As normas futuras serão expressas numa especificação versionada e num conjunto de testes. As fontes técnicas do capítulo 19 fundamentam escolhas e limites; não substituem os contratos próprios da TriX nem fixam automaticamente versões mínimas do produto.</w:t>
      </w:r>
    </w:p>
    <w:p>
      <w:bookmarkStart w:id="12" w:name="chapter_3"/>
      <w:pPr>
        <w:pStyle w:val="Heading1"/>
      </w:pPr>
      <w:r>
        <w:t>3 Âmbito inicial e objetivos de conceção</w:t>
      </w:r>
      <w:bookmarkEnd w:id="12"/>
    </w:p>
    <w:p>
      <w:r>
        <w:t>A primeira versão deve tornar executável um conjunto pequeno de conceitos: projeto, tarefa, dependência, entrada, saída, efeito, política, recurso, modelo, tentativa e resultado. O desenho pode evoluir para operações mais gerais sem exigir, de início, uma nova implementação de todos os motores de IA ou de todas as bibliotecas numéricas.</w:t>
      </w:r>
    </w:p>
    <w:p>
      <w:r>
        <w:t xml:space="preserve">Rust oferece um precedente para propriedade e duração de recursos verificadas sem um coletor de lixo obrigatório. Python oferece uma sintaxe acessível, estruturas de alto nível e integração com extensões. Swift oferece referências úteis para concorrência estruturada, atores e transferência segura entre domínios de concorrência. A TriX deve selecionar mecanismos coerentes entre si e explicitar as garantias resultantes. </w:t>
      </w:r>
      <w:hyperlink w:anchor="F01">
        <w:r>
          <w:rPr>
            <w:rFonts w:ascii="Nimbus Sans" w:hAnsi="Nimbus Sans"/>
            <w:color w:val="000000"/>
          </w:rPr>
          <w:t xml:space="preserve">[F01]</w:t>
        </w:r>
      </w:hyperlink>
      <w:r>
        <w:t xml:space="preserve"> </w:t>
      </w:r>
      <w:hyperlink w:anchor="F02">
        <w:r>
          <w:rPr>
            <w:rFonts w:ascii="Nimbus Sans" w:hAnsi="Nimbus Sans"/>
            <w:color w:val="000000"/>
          </w:rPr>
          <w:t xml:space="preserve">[F02]</w:t>
        </w:r>
      </w:hyperlink>
      <w:r>
        <w:t xml:space="preserve"> </w:t>
      </w:r>
      <w:hyperlink w:anchor="F03">
        <w:r>
          <w:rPr>
            <w:rFonts w:ascii="Nimbus Sans" w:hAnsi="Nimbus Sans"/>
            <w:color w:val="000000"/>
          </w:rPr>
          <w:t xml:space="preserve">[F03]</w:t>
        </w:r>
      </w:hyperlink>
    </w:p>
    <w:p>
      <w:bookmarkStart w:id="13" w:name="ESC_001"/>
      <w:pPr>
        <w:pStyle w:val="Requirement"/>
      </w:pPr>
      <w:r>
        <w:rPr>
          <w:b/>
        </w:rPr>
        <w:t>ESC-001 Primeiro subconjunto.</w:t>
      </w:r>
      <w:r>
        <w:t xml:space="preserve"> A primeira implementação DEVE suportar contratos de tarefas, dependências, políticas e execução por adaptadores. RECOMENDA-SE validar esse subconjunto através de um SDK, planos verificáveis e executores antes de investir num compilador generalista.</w:t>
      </w:r>
      <w:bookmarkEnd w:id="13"/>
    </w:p>
    <w:p>
      <w:bookmarkStart w:id="14" w:name="ESC_002"/>
      <w:pPr>
        <w:pStyle w:val="Requirement"/>
      </w:pPr>
      <w:r>
        <w:rPr>
          <w:b/>
        </w:rPr>
        <w:t>ESC-002 Responsabilidades.</w:t>
      </w:r>
      <w:r>
        <w:t xml:space="preserve"> A especificação DEVE separar linguagem e semântica, representação dos planos, sistema de execução, adaptadores e ferramentas de desenvolvimento. Uma decisão de interface gráfica NÃO DEVE alterar o significado de um programa.</w:t>
      </w:r>
      <w:bookmarkEnd w:id="14"/>
    </w:p>
    <w:p>
      <w:bookmarkStart w:id="15" w:name="ESC_003"/>
      <w:pPr>
        <w:pStyle w:val="Requirement"/>
      </w:pPr>
      <w:r>
        <w:rPr>
          <w:b/>
        </w:rPr>
        <w:t>ESC-003 Implementação de referência.</w:t>
      </w:r>
      <w:r>
        <w:t xml:space="preserve"> RECOMENDA-SE um núcleo de coordenação e de execução em Rust, adaptadores Python isolados para integração com o ecossistema de IA e clientes Swift nas plataformas Apple. Essa composição DEVE permanecer uma escolha de implementação, sem obrigar todas as extensões a utilizar as mesmas linguagens.</w:t>
      </w:r>
      <w:bookmarkEnd w:id="15"/>
    </w:p>
    <w:p>
      <w:bookmarkStart w:id="16" w:name="ESC_004"/>
      <w:pPr>
        <w:pStyle w:val="Requirement"/>
      </w:pPr>
      <w:r>
        <w:rPr>
          <w:b/>
        </w:rPr>
        <w:t>ESC-004 Reutilização.</w:t>
      </w:r>
      <w:r>
        <w:t xml:space="preserve"> RECOMENDA-SE utilizar motores, compiladores e mecanismos de distribuição existentes quando satisfaçam os contratos. Um novo backend de baixo nível ou kernel próprio DEVE justificar o benefício e a manutenção adicional através de evidência.</w:t>
      </w:r>
      <w:bookmarkEnd w:id="16"/>
    </w:p>
    <w:p>
      <w:bookmarkStart w:id="17" w:name="ESC_005"/>
      <w:pPr>
        <w:pStyle w:val="Requirement"/>
      </w:pPr>
      <w:r>
        <w:rPr>
          <w:b/>
        </w:rPr>
        <w:t>ESC-005 Limites de âmbito.</w:t>
      </w:r>
      <w:r>
        <w:t xml:space="preserve"> A primeira versão NÃO DEVE anunciar compilação universal de bibliotecas arbitrárias, acesso uniforme a qualquer acelerador, memória global coerente ou migração instantânea de estado entre fornecedores. Capacidades desse tipo exigem especificação e validação próprias.</w:t>
      </w:r>
      <w:bookmarkEnd w:id="17"/>
    </w:p>
    <w:p>
      <w:r>
        <w:t>O sucesso inicial é executar fluxos reais com semântica estável e diagnósticos úteis. A quantidade de sintaxe inventada, de fornecedores listados ou de código reescrito não constitui, por si, critério de progresso.</w:t>
      </w:r>
    </w:p>
    <w:p>
      <w:bookmarkStart w:id="18" w:name="chapter_4"/>
      <w:pPr>
        <w:pStyle w:val="Heading1"/>
      </w:pPr>
      <w:r>
        <w:t>4 Arquitetura lógica e configurações físicas</w:t>
      </w:r>
      <w:bookmarkEnd w:id="18"/>
    </w:p>
    <w:p>
      <w:r>
        <w:t>O conceito trinitário é aplicado a três papéis lógicos: interação, coordenação e execução. Essa organização é uma proposta de arquitetura para preservar a ideia original enquanto o número de máquinas, clusters e fornecedores pode variar.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2477"/>
        <w:gridCol w:w="3283"/>
        <w:gridCol w:w="4118"/>
      </w:tblGrid>
      <w:tr>
        <w:trPr>
          <w:cantSplit/>
          <w:tblHeader w:val="true"/>
        </w:trPr>
        <w:tc>
          <w:tcPr>
            <w:tcW w:type="dxa" w:w="2477"/>
            <w:vAlign w:val="center"/>
            <w:shd w:fill="26313D" w:val="clear"/>
          </w:tcPr>
          <w:p>
            <w:pPr>
              <w:pStyle w:val="Tabletext"/>
            </w:pPr>
            <w:r>
              <w:rPr>
                <w:b/>
                <w:color w:val="FFFFFF"/>
              </w:rPr>
              <w:t>Papel</w:t>
            </w:r>
          </w:p>
        </w:tc>
        <w:tc>
          <w:tcPr>
            <w:tcW w:type="dxa" w:w="3283"/>
            <w:vAlign w:val="center"/>
            <w:shd w:fill="26313D" w:val="clear"/>
          </w:tcPr>
          <w:p>
            <w:pPr>
              <w:pStyle w:val="Tabletext"/>
            </w:pPr>
            <w:r>
              <w:rPr>
                <w:b/>
                <w:color w:val="FFFFFF"/>
              </w:rPr>
              <w:t>Responsabilidade</w:t>
            </w:r>
          </w:p>
        </w:tc>
        <w:tc>
          <w:tcPr>
            <w:tcW w:type="dxa" w:w="4118"/>
            <w:vAlign w:val="center"/>
            <w:shd w:fill="26313D" w:val="clear"/>
          </w:tcPr>
          <w:p>
            <w:pPr>
              <w:pStyle w:val="Tabletext"/>
            </w:pPr>
            <w:r>
              <w:rPr>
                <w:b/>
                <w:color w:val="FFFFFF"/>
              </w:rPr>
              <w:t>Exemplos de instalação</w:t>
            </w:r>
          </w:p>
        </w:tc>
      </w:tr>
      <w:tr>
        <w:trPr>
          <w:cantSplit/>
        </w:trPr>
        <w:tc>
          <w:tcPr>
            <w:tcW w:type="dxa" w:w="2477"/>
            <w:vAlign w:val="center"/>
            <w:shd w:fill="FFFFFF" w:val="clear"/>
          </w:tcPr>
          <w:p>
            <w:pPr>
              <w:pStyle w:val="Tabletext"/>
            </w:pPr>
            <w:r>
              <w:t>Interação</w:t>
            </w:r>
          </w:p>
        </w:tc>
        <w:tc>
          <w:tcPr>
            <w:tcW w:type="dxa" w:w="3283"/>
            <w:vAlign w:val="center"/>
            <w:shd w:fill="FFFFFF" w:val="clear"/>
          </w:tcPr>
          <w:p>
            <w:pPr>
              <w:pStyle w:val="Tabletext"/>
            </w:pPr>
            <w:r>
              <w:t>Pedidos, acompanhamento e intervenção humana</w:t>
            </w:r>
          </w:p>
        </w:tc>
        <w:tc>
          <w:tcPr>
            <w:tcW w:type="dxa" w:w="4118"/>
            <w:vAlign w:val="center"/>
            <w:shd w:fill="FFFFFF" w:val="clear"/>
          </w:tcPr>
          <w:p>
            <w:pPr>
              <w:pStyle w:val="Tabletext"/>
            </w:pPr>
            <w:r>
              <w:t>Aplicação nativa, cliente web, telefone ou tablet</w:t>
            </w:r>
          </w:p>
        </w:tc>
      </w:tr>
      <w:tr>
        <w:trPr>
          <w:cantSplit/>
        </w:trPr>
        <w:tc>
          <w:tcPr>
            <w:tcW w:type="dxa" w:w="2477"/>
            <w:vAlign w:val="center"/>
            <w:shd w:fill="F2F5F7" w:val="clear"/>
          </w:tcPr>
          <w:p>
            <w:pPr>
              <w:pStyle w:val="Tabletext"/>
            </w:pPr>
            <w:r>
              <w:t>Coordenação</w:t>
            </w:r>
          </w:p>
        </w:tc>
        <w:tc>
          <w:tcPr>
            <w:tcW w:type="dxa" w:w="3283"/>
            <w:vAlign w:val="center"/>
            <w:shd w:fill="F2F5F7" w:val="clear"/>
          </w:tcPr>
          <w:p>
            <w:pPr>
              <w:pStyle w:val="Tabletext"/>
            </w:pPr>
            <w:r>
              <w:t>Projetos, políticas, admissão e distribuição do trabalho</w:t>
            </w:r>
          </w:p>
        </w:tc>
        <w:tc>
          <w:tcPr>
            <w:tcW w:type="dxa" w:w="4118"/>
            <w:vAlign w:val="center"/>
            <w:shd w:fill="F2F5F7" w:val="clear"/>
          </w:tcPr>
          <w:p>
            <w:pPr>
              <w:pStyle w:val="Tabletext"/>
            </w:pPr>
            <w:r>
              <w:t>Serviço único ou serviço replicado com autoridade consistente</w:t>
            </w:r>
          </w:p>
        </w:tc>
      </w:tr>
      <w:tr>
        <w:trPr>
          <w:cantSplit/>
        </w:trPr>
        <w:tc>
          <w:tcPr>
            <w:tcW w:type="dxa" w:w="2477"/>
            <w:vAlign w:val="center"/>
            <w:shd w:fill="FFFFFF" w:val="clear"/>
          </w:tcPr>
          <w:p>
            <w:pPr>
              <w:pStyle w:val="Tabletext"/>
            </w:pPr>
            <w:r>
              <w:t>Execução</w:t>
            </w:r>
          </w:p>
        </w:tc>
        <w:tc>
          <w:tcPr>
            <w:tcW w:type="dxa" w:w="3283"/>
            <w:vAlign w:val="center"/>
            <w:shd w:fill="FFFFFF" w:val="clear"/>
          </w:tcPr>
          <w:p>
            <w:pPr>
              <w:pStyle w:val="Tabletext"/>
            </w:pPr>
            <w:r>
              <w:t>Modelos, ferramentas e transformação de dados</w:t>
            </w:r>
          </w:p>
        </w:tc>
        <w:tc>
          <w:tcPr>
            <w:tcW w:type="dxa" w:w="4118"/>
            <w:vAlign w:val="center"/>
            <w:shd w:fill="FFFFFF" w:val="clear"/>
          </w:tcPr>
          <w:p>
            <w:pPr>
              <w:pStyle w:val="Tabletext"/>
            </w:pPr>
            <w:r>
              <w:t>Terminal, servidor, cluster próprio ou serviço externo</w:t>
            </w:r>
          </w:p>
        </w:tc>
      </w:tr>
    </w:tbl>
    <w:p>
      <w:pPr>
        <w:spacing w:after="20" w:before="0" w:line="60" w:lineRule="exact"/>
      </w:pPr>
      <w:r>
        <w:rPr>
          <w:sz w:val="6"/>
        </w:rPr>
      </w:r>
    </w:p>
    <w:p>
      <w:bookmarkStart w:id="19" w:name="ARQ_001"/>
      <w:pPr>
        <w:pStyle w:val="Requirement"/>
      </w:pPr>
      <w:r>
        <w:rPr>
          <w:b/>
        </w:rPr>
        <w:t>ARQ-001 Quantidade de recursos.</w:t>
      </w:r>
      <w:r>
        <w:t xml:space="preserve"> A configuração DEVE admitir listas de nós, grupos, clusters e fornecedores. NÃO DEVE codificar como obrigação estrutural a existência de um cluster Mac e de um cluster NVIDIA.</w:t>
      </w:r>
      <w:bookmarkEnd w:id="19"/>
    </w:p>
    <w:p>
      <w:bookmarkStart w:id="20" w:name="ARQ_002"/>
      <w:pPr>
        <w:pStyle w:val="Requirement"/>
      </w:pPr>
      <w:r>
        <w:rPr>
          <w:b/>
        </w:rPr>
        <w:t>ARQ-002 Papéis independentes.</w:t>
      </w:r>
      <w:r>
        <w:t xml:space="preserve"> Um equipamento PODE exercer vários papéis autorizados. A marca ou a arquitetura da CPU NÃO DEVE determinar automaticamente autoridade, confiança ou responsabilidade sobre um projeto.</w:t>
      </w:r>
      <w:bookmarkEnd w:id="20"/>
    </w:p>
    <w:p>
      <w:bookmarkStart w:id="21" w:name="ARQ_003"/>
      <w:pPr>
        <w:pStyle w:val="Requirement"/>
      </w:pPr>
      <w:r>
        <w:rPr>
          <w:b/>
        </w:rPr>
        <w:t>ARQ-003 Capacidades técnicas.</w:t>
      </w:r>
      <w:r>
        <w:t xml:space="preserve"> A seleção de recursos DEVE utilizar capacidades técnicas declaradas, verificadas e observadas, conservando a distinção entre estas três fontes de informação. Recursos apenas detetados NÃO DEVEM ser apresentados como validados para executar qualquer modelo. A capacidade técnica não concede autorização de utilização.</w:t>
      </w:r>
      <w:bookmarkEnd w:id="21"/>
    </w:p>
    <w:p>
      <w:bookmarkStart w:id="22" w:name="ARQ_004"/>
      <w:pPr>
        <w:pStyle w:val="Requirement"/>
      </w:pPr>
      <w:r>
        <w:rPr>
          <w:b/>
        </w:rPr>
        <w:t>ARQ-004 Planos de controlo e dados.</w:t>
      </w:r>
      <w:r>
        <w:t xml:space="preserve"> A coordenação DEVE controlar autorizações e acompanhar operações sem exigir que todos os ficheiros, tensores ou resultados atravessem o coordenador. Transferências diretas DEVEM ter autorização e rastreabilidade próprias.</w:t>
      </w:r>
      <w:bookmarkEnd w:id="22"/>
    </w:p>
    <w:p>
      <w:bookmarkStart w:id="23" w:name="ARQ_005"/>
      <w:pPr>
        <w:pStyle w:val="Requirement"/>
      </w:pPr>
      <w:r>
        <w:rPr>
          <w:b/>
        </w:rPr>
        <w:t>ARQ-005 Integração com gestores.</w:t>
      </w:r>
      <w:r>
        <w:t xml:space="preserve"> O sistema DEVE poder operar com um executor autónomo. PODE integrar gestores como Kubernetes ou Slurm através de contratos próprios. A autoridade sobre reservas locais DEVE ser clara para impedir duas atribuições incompatíveis do mesmo recurso.</w:t>
      </w:r>
      <w:bookmarkEnd w:id="23"/>
    </w:p>
    <w:p>
      <w:bookmarkStart w:id="24" w:name="ARQ_006"/>
      <w:pPr>
        <w:pStyle w:val="Requirement"/>
      </w:pPr>
      <w:r>
        <w:rPr>
          <w:b/>
        </w:rPr>
        <w:t>ARQ-006 Grupos de execução.</w:t>
      </w:r>
      <w:r>
        <w:t xml:space="preserve"> Recursos usados conjuntamente numa inferência ou treino DEVEM pertencer a um grupo validado para esse modo de execução. A existência de vários destinos capazes de executar tarefas separadas NÃO DEVE provar compatibilidade para cálculo conjunto.</w:t>
      </w:r>
      <w:bookmarkEnd w:id="24"/>
    </w:p>
    <w:p>
      <w:r>
        <w:t xml:space="preserve">Kubernetes documenta mecanismos para selecionar nós com diferentes tipos de GPU. Slurm oferece recursos genéricos atribuíveis, incluindo GPUs. Estas tecnologias podem integrar a execução sem se tornarem requisitos obrigatórios da linguagem. </w:t>
      </w:r>
      <w:hyperlink w:anchor="F15">
        <w:r>
          <w:rPr>
            <w:rFonts w:ascii="Nimbus Sans" w:hAnsi="Nimbus Sans"/>
            <w:color w:val="000000"/>
          </w:rPr>
          <w:t xml:space="preserve">[F15]</w:t>
        </w:r>
      </w:hyperlink>
      <w:r>
        <w:t xml:space="preserve"> </w:t>
      </w:r>
      <w:hyperlink w:anchor="F16">
        <w:r>
          <w:rPr>
            <w:rFonts w:ascii="Nimbus Sans" w:hAnsi="Nimbus Sans"/>
            <w:color w:val="000000"/>
          </w:rPr>
          <w:t xml:space="preserve">[F16]</w:t>
        </w:r>
      </w:hyperlink>
    </w:p>
    <w:p>
      <w:bookmarkStart w:id="25" w:name="chapter_5"/>
      <w:pPr>
        <w:pStyle w:val="Heading1"/>
      </w:pPr>
      <w:r>
        <w:t>5 Semântica e sistema de tipos</w:t>
      </w:r>
      <w:bookmarkEnd w:id="25"/>
    </w:p>
    <w:p>
      <w:r>
        <w:t>A semântica define o significado dos programas. A especificação deve permitir distinguir um erro do programa, uma incompatibilidade do destino, uma recusa de política e uma falha durante a execução.</w:t>
      </w:r>
    </w:p>
    <w:p>
      <w:bookmarkStart w:id="26" w:name="LNG_001"/>
      <w:pPr>
        <w:pStyle w:val="Requirement"/>
      </w:pPr>
      <w:r>
        <w:rPr>
          <w:b/>
        </w:rPr>
        <w:t>LNG-001 Especificação.</w:t>
      </w:r>
      <w:r>
        <w:t xml:space="preserve"> A TriX DEVE possuir uma especificação versionada de tipos, efeitos, erros, concorrência e execução distribuída. A implementação de referência DEVE ser verificável contra essa especificação.</w:t>
      </w:r>
      <w:bookmarkEnd w:id="26"/>
    </w:p>
    <w:p>
      <w:bookmarkStart w:id="27" w:name="LNG_002"/>
      <w:pPr>
        <w:pStyle w:val="Requirement"/>
      </w:pPr>
      <w:r>
        <w:rPr>
          <w:b/>
        </w:rPr>
        <w:t>LNG-002 Sintaxe.</w:t>
      </w:r>
      <w:r>
        <w:t xml:space="preserve"> A gramática aprovada DEVE definir regras lexicais, precedência, associação e resolução de nomes. Até à sua aprovação, exemplos DEVEM ser identificados como ilustrativos. O mesmo programa NÃO DEVE adquirir significado diferente apenas por mudar de fabricante ou sistema operativo.</w:t>
      </w:r>
      <w:bookmarkEnd w:id="27"/>
    </w:p>
    <w:p>
      <w:bookmarkStart w:id="28" w:name="LNG_003"/>
      <w:pPr>
        <w:pStyle w:val="Requirement"/>
      </w:pPr>
      <w:r>
        <w:rPr>
          <w:b/>
        </w:rPr>
        <w:t>LNG-003 Verificação.</w:t>
      </w:r>
      <w:r>
        <w:t xml:space="preserve"> O núcleo verificado DEVE verificar tipos antes da execução. PODE inferir tipos locais. Interfaces públicas DEVEM tornar tipos e contratos consultáveis e inequívocos. Operações dinâmicas DEVEM atravessar uma fronteira identificada.</w:t>
      </w:r>
      <w:bookmarkEnd w:id="28"/>
    </w:p>
    <w:p>
      <w:bookmarkStart w:id="29" w:name="LNG_004"/>
      <w:pPr>
        <w:pStyle w:val="Requirement"/>
      </w:pPr>
      <w:r>
        <w:rPr>
          <w:b/>
        </w:rPr>
        <w:t>LNG-004 Dados externos.</w:t>
      </w:r>
      <w:r>
        <w:t xml:space="preserve"> Valores provenientes de modelos, ficheiros, formatos externos ou extensões DEVEM ser validados antes da sua utilização como valores tipados. Conversões falhadas DEVEM produzir erros identificáveis.</w:t>
      </w:r>
      <w:bookmarkEnd w:id="29"/>
    </w:p>
    <w:p>
      <w:bookmarkStart w:id="30" w:name="LNG_005"/>
      <w:pPr>
        <w:pStyle w:val="Requirement"/>
      </w:pPr>
      <w:r>
        <w:rPr>
          <w:b/>
        </w:rPr>
        <w:t>LNG-005 Ausência e falha.</w:t>
      </w:r>
      <w:r>
        <w:t xml:space="preserve"> A linguagem DEVE distinguir valor presente, ausência de valor e falha. Uma falha remota NÃO DEVE converter-se implicitamente numa saída vazia considerada bem-sucedida.</w:t>
      </w:r>
      <w:bookmarkEnd w:id="30"/>
    </w:p>
    <w:p>
      <w:bookmarkStart w:id="31" w:name="LNG_006"/>
      <w:pPr>
        <w:pStyle w:val="Requirement"/>
      </w:pPr>
      <w:r>
        <w:rPr>
          <w:b/>
        </w:rPr>
        <w:t>LNG-006 Mutabilidade.</w:t>
      </w:r>
      <w:r>
        <w:t xml:space="preserve"> RECOMENDA-SE imutabilidade por omissão. A mutação DEVE ser explícita e obedecer a regras documentadas de propriedade, isolamento ou sincronização.</w:t>
      </w:r>
      <w:bookmarkEnd w:id="31"/>
    </w:p>
    <w:p>
      <w:bookmarkStart w:id="32" w:name="LNG_007"/>
      <w:pPr>
        <w:pStyle w:val="Requirement"/>
      </w:pPr>
      <w:r>
        <w:rPr>
          <w:b/>
        </w:rPr>
        <w:t>LNG-007 Recursos.</w:t>
      </w:r>
      <w:r>
        <w:t xml:space="preserve"> A linguagem DEVE definir quem controla a duração dos recursos, quando podem ser copiados, transferidos ou partilhados e como são libertados. A escolha concreta entre empréstimos, contagem de referências e outros mecanismos permanece sujeita a decisão de conceção.</w:t>
      </w:r>
      <w:bookmarkEnd w:id="32"/>
    </w:p>
    <w:p>
      <w:bookmarkStart w:id="33" w:name="LNG_008"/>
      <w:pPr>
        <w:pStyle w:val="Requirement"/>
      </w:pPr>
      <w:r>
        <w:rPr>
          <w:b/>
        </w:rPr>
        <w:t>LNG-008 Memória remota.</w:t>
      </w:r>
      <w:r>
        <w:t xml:space="preserve"> Endereços locais NÃO DEVEM atravessar uma fronteira de processo ou de rede como referências ainda válidas. A transferência DEVE utilizar dados serializáveis ou identificadores de recursos cuja validade e autorização possam ser verificadas.</w:t>
      </w:r>
      <w:bookmarkEnd w:id="33"/>
    </w:p>
    <w:p>
      <w:bookmarkStart w:id="34" w:name="LNG_009"/>
      <w:pPr>
        <w:pStyle w:val="Requirement"/>
      </w:pPr>
      <w:r>
        <w:rPr>
          <w:b/>
        </w:rPr>
        <w:t>LNG-009 Efeitos.</w:t>
      </w:r>
      <w:r>
        <w:t xml:space="preserve"> Operações sobre ficheiros, rede, processos, ferramentas, modelos e recursos remotos DEVEM declarar efeitos relevantes. A especificação DEVE identificar quais as verificações estáticas e quais as verificações efetuadas no momento do acesso.</w:t>
      </w:r>
      <w:bookmarkEnd w:id="34"/>
    </w:p>
    <w:p>
      <w:bookmarkStart w:id="35" w:name="LNG_010"/>
      <w:pPr>
        <w:pStyle w:val="Requirement"/>
      </w:pPr>
      <w:r>
        <w:rPr>
          <w:b/>
        </w:rPr>
        <w:t>LNG-010 Capacidades de autorização.</w:t>
      </w:r>
      <w:r>
        <w:t xml:space="preserve"> Uma declaração no programa ou numa extensão NÃO DEVE conceder autoridade por si própria. A execução de efeitos DEVE depender de capacidades de autorização atribuídas e verificadas pelo sistema.</w:t>
      </w:r>
      <w:bookmarkEnd w:id="35"/>
    </w:p>
    <w:p>
      <w:bookmarkStart w:id="36" w:name="LNG_011"/>
      <w:pPr>
        <w:pStyle w:val="Requirement"/>
      </w:pPr>
      <w:r>
        <w:rPr>
          <w:b/>
        </w:rPr>
        <w:t>LNG-011 Propagação de políticas.</w:t>
      </w:r>
      <w:r>
        <w:t xml:space="preserve"> Restrições associadas aos dados DEVEM ser preservadas através de funções, coleções e tarefas. Reduzir essas restrições DEVE exigir uma operação explícita, autorizada e registada.</w:t>
      </w:r>
      <w:bookmarkEnd w:id="36"/>
    </w:p>
    <w:p>
      <w:bookmarkStart w:id="37" w:name="LNG_012"/>
      <w:pPr>
        <w:pStyle w:val="Requirement"/>
      </w:pPr>
      <w:r>
        <w:rPr>
          <w:b/>
        </w:rPr>
        <w:t>LNG-012 Recursos declarados.</w:t>
      </w:r>
      <w:r>
        <w:t xml:space="preserve"> A linguagem DEVE distinguir requisitos, reservas, limites aplicáveis, objetivos e preferências. Estimativas DEVEM ser identificadas como tal, e a seleção final DEVE considerar a capacidade observada do destino.</w:t>
      </w:r>
      <w:bookmarkEnd w:id="37"/>
    </w:p>
    <w:p>
      <w:r>
        <w:t>A anotação de uma política no tipo é um mecanismo de prevenção e documentação. A sua aplicação efetiva também exige verificações no sistema de execução e isolamento nas fronteiras externas.</w:t>
      </w:r>
    </w:p>
    <w:p>
      <w:bookmarkStart w:id="38" w:name="chapter_6"/>
      <w:pPr>
        <w:pStyle w:val="Heading1"/>
      </w:pPr>
      <w:r>
        <w:t>6 Concorrência e interoperabilidade</w:t>
      </w:r>
      <w:bookmarkEnd w:id="38"/>
    </w:p>
    <w:p>
      <w:r>
        <w:t>O programa deve expressar a relação entre tarefas e o comportamento esperado quando uma delas falha, termina ou é cancelada. A distribuição não deve apagar essas relações.</w:t>
      </w:r>
    </w:p>
    <w:p>
      <w:bookmarkStart w:id="39" w:name="CON_001"/>
      <w:pPr>
        <w:pStyle w:val="Requirement"/>
      </w:pPr>
      <w:r>
        <w:rPr>
          <w:b/>
        </w:rPr>
        <w:t>CON-001 Âmbitos concorrentes.</w:t>
      </w:r>
      <w:r>
        <w:t xml:space="preserve"> As construções concorrentes DEVEM definir a relação entre tarefas, o encerramento do âmbito e a propagação de falhas e cancelamentos. Trabalho que sobreviva ao âmbito original DEVE exigir uma operação explícita de execução durável.</w:t>
      </w:r>
      <w:bookmarkEnd w:id="39"/>
    </w:p>
    <w:p>
      <w:bookmarkStart w:id="40" w:name="CON_002"/>
      <w:pPr>
        <w:pStyle w:val="Requirement"/>
      </w:pPr>
      <w:r>
        <w:rPr>
          <w:b/>
        </w:rPr>
        <w:t>CON-002 Estado partilhado.</w:t>
      </w:r>
      <w:r>
        <w:t xml:space="preserve"> A especificação DEVE estabelecer um modelo de partilha seguro no subconjunto verificado. PODE utilizar atores e mensagens. A passagem de mensagens DEVE respeitar tipos, autorização e regras de circulação dos dados.</w:t>
      </w:r>
      <w:bookmarkEnd w:id="40"/>
    </w:p>
    <w:p>
      <w:bookmarkStart w:id="41" w:name="CON_003"/>
      <w:pPr>
        <w:pStyle w:val="Requirement"/>
      </w:pPr>
      <w:r>
        <w:rPr>
          <w:b/>
        </w:rPr>
        <w:t>CON-003 Cancelamento.</w:t>
      </w:r>
      <w:r>
        <w:t xml:space="preserve"> A linguagem DEVE distinguir pedido, aceitação e conclusão efetiva do cancelamento. Um prazo expirado NÃO DEVE ser interpretado como prova de que a execução remota terminou.</w:t>
      </w:r>
      <w:bookmarkEnd w:id="41"/>
    </w:p>
    <w:p>
      <w:bookmarkStart w:id="42" w:name="CON_004"/>
      <w:pPr>
        <w:pStyle w:val="Requirement"/>
      </w:pPr>
      <w:r>
        <w:rPr>
          <w:b/>
        </w:rPr>
        <w:t>CON-004 Resultados progressivos.</w:t>
      </w:r>
      <w:r>
        <w:t xml:space="preserve"> Fluxos de resultados DEVEM definir ordenação, conclusão, falha e controlo da pressão de produção sobre o consumidor. Resultados parciais DEVEM ser distinguíveis dos resultados finais aceites.</w:t>
      </w:r>
      <w:bookmarkEnd w:id="42"/>
    </w:p>
    <w:p>
      <w:bookmarkStart w:id="43" w:name="CON_005"/>
      <w:pPr>
        <w:pStyle w:val="Requirement"/>
      </w:pPr>
      <w:r>
        <w:rPr>
          <w:b/>
        </w:rPr>
        <w:t>CON-005 Representação intermédia.</w:t>
      </w:r>
      <w:r>
        <w:t xml:space="preserve"> A compilação ou interpretação DEVE produzir um plano verificável com tarefas, dependências, tipos, efeitos e requisitos. O esquema desse plano DEVE ser versionado independentemente dos binários próprios de cada plataforma.</w:t>
      </w:r>
      <w:bookmarkEnd w:id="43"/>
    </w:p>
    <w:p>
      <w:bookmarkStart w:id="44" w:name="CON_006"/>
      <w:pPr>
        <w:pStyle w:val="Requirement"/>
      </w:pPr>
      <w:r>
        <w:rPr>
          <w:b/>
        </w:rPr>
        <w:t>CON-006 Requisitos desconhecidos.</w:t>
      </w:r>
      <w:r>
        <w:t xml:space="preserve"> Um executor que não compreenda uma exigência obrigatória DEVE rejeitar a tarefa antes de iniciar efeitos. Uma funcionalidade opcional só PODE ser omitida quando o contrato prevê essa alternativa.</w:t>
      </w:r>
      <w:bookmarkEnd w:id="44"/>
    </w:p>
    <w:p>
      <w:bookmarkStart w:id="45" w:name="CON_007"/>
      <w:pPr>
        <w:pStyle w:val="Requirement"/>
      </w:pPr>
      <w:r>
        <w:rPr>
          <w:b/>
        </w:rPr>
        <w:t>CON-007 Outras linguagens.</w:t>
      </w:r>
      <w:r>
        <w:t xml:space="preserve"> Integrações com Rust, Python, Swift ou outras linguagens DEVEM definir formatos, propriedade, duração dos objetos, erros, concorrência e cancelamento. RECOMENDA-SE isolamento por processo quando uma falha da extensão possa comprometer o núcleo.</w:t>
      </w:r>
      <w:bookmarkEnd w:id="45"/>
    </w:p>
    <w:p>
      <w:bookmarkStart w:id="46" w:name="CON_008"/>
      <w:pPr>
        <w:pStyle w:val="Requirement"/>
      </w:pPr>
      <w:r>
        <w:rPr>
          <w:b/>
        </w:rPr>
        <w:t>CON-008 Fronteira de garantias.</w:t>
      </w:r>
      <w:r>
        <w:t xml:space="preserve"> Código externo, bibliotecas nativas e interfaces binárias NÃO DEVEM herdar implicitamente as garantias do subconjunto verificado. Interfaces diretas DEVEM declarar a ABI ou protocolo utilizado e as combinações de versões compatíveis.</w:t>
      </w:r>
      <w:bookmarkEnd w:id="46"/>
    </w:p>
    <w:p>
      <w:bookmarkStart w:id="47" w:name="CON_009"/>
      <w:pPr>
        <w:pStyle w:val="Requirement"/>
      </w:pPr>
      <w:r>
        <w:rPr>
          <w:b/>
        </w:rPr>
        <w:t>CON-009 Dependências.</w:t>
      </w:r>
      <w:r>
        <w:t xml:space="preserve"> Módulos e extensões DEVEM possuir nomes sem ambiguidade, versões e dependências identificáveis. A instalação DEVE permitir fixar os artefactos utilizados. Importar um módulo NÃO DEVE ampliar permissões.</w:t>
      </w:r>
      <w:bookmarkEnd w:id="47"/>
    </w:p>
    <w:p>
      <w:bookmarkStart w:id="48" w:name="CON_010"/>
      <w:pPr>
        <w:pStyle w:val="Requirement"/>
      </w:pPr>
      <w:r>
        <w:rPr>
          <w:b/>
        </w:rPr>
        <w:t>CON-010 Reprodutibilidade.</w:t>
      </w:r>
      <w:r>
        <w:t xml:space="preserve"> As tarefas DEVEM poder declarar identidade exata, tolerância numérica ou critérios de qualidade como objetivo de reprodução. O sistema DEVE registar versões, configuração e sementes quando relevantes. Esses registos, isoladamente, NÃO DEVEM ser apresentados como garantia de resultados idênticos.</w:t>
      </w:r>
      <w:bookmarkEnd w:id="48"/>
    </w:p>
    <w:p>
      <w:r>
        <w:t>O plano portátil descreve o trabalho. Binários, kernels, variantes de modelos e estados de execução mantêm os seus próprios contratos de compatibilidade.</w:t>
      </w:r>
    </w:p>
    <w:p>
      <w:bookmarkStart w:id="49" w:name="chapter_7"/>
      <w:pPr>
        <w:pStyle w:val="Heading1"/>
      </w:pPr>
      <w:r>
        <w:t>7 Autoridade e auditoria</w:t>
      </w:r>
      <w:bookmarkEnd w:id="49"/>
    </w:p>
    <w:p>
      <w:r>
        <w:t>A governação de referência organiza a execução por projetos e conserva uma cadeia de autoridade identificável. O perfil desta revisão formaliza a hierarquia de coordenação e uma linha de auditoria independente. Os mecanismos de eleição, persistência, retenção e isolamento serão detalhados nas decisões de implementação.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2477"/>
        <w:gridCol w:w="3283"/>
        <w:gridCol w:w="4118"/>
      </w:tblGrid>
      <w:tr>
        <w:trPr>
          <w:cantSplit/>
          <w:tblHeader w:val="true"/>
        </w:trPr>
        <w:tc>
          <w:tcPr>
            <w:tcW w:type="dxa" w:w="2477"/>
            <w:vAlign w:val="center"/>
            <w:shd w:fill="26313D" w:val="clear"/>
          </w:tcPr>
          <w:p>
            <w:pPr>
              <w:pStyle w:val="Tabletext"/>
            </w:pPr>
            <w:r>
              <w:rPr>
                <w:b/>
                <w:color w:val="FFFFFF"/>
              </w:rPr>
              <w:t>Papel de governação</w:t>
            </w:r>
          </w:p>
        </w:tc>
        <w:tc>
          <w:tcPr>
            <w:tcW w:type="dxa" w:w="3283"/>
            <w:vAlign w:val="center"/>
            <w:shd w:fill="26313D" w:val="clear"/>
          </w:tcPr>
          <w:p>
            <w:pPr>
              <w:pStyle w:val="Tabletext"/>
            </w:pPr>
            <w:r>
              <w:rPr>
                <w:b/>
                <w:color w:val="FFFFFF"/>
              </w:rPr>
              <w:t>Âmbito</w:t>
            </w:r>
          </w:p>
        </w:tc>
        <w:tc>
          <w:tcPr>
            <w:tcW w:type="dxa" w:w="4118"/>
            <w:vAlign w:val="center"/>
            <w:shd w:fill="26313D" w:val="clear"/>
          </w:tcPr>
          <w:p>
            <w:pPr>
              <w:pStyle w:val="Tabletext"/>
            </w:pPr>
            <w:r>
              <w:rPr>
                <w:b/>
                <w:color w:val="FFFFFF"/>
              </w:rPr>
              <w:t>Relação principal</w:t>
            </w:r>
          </w:p>
        </w:tc>
      </w:tr>
      <w:tr>
        <w:trPr>
          <w:cantSplit/>
        </w:trPr>
        <w:tc>
          <w:tcPr>
            <w:tcW w:type="dxa" w:w="2477"/>
            <w:vAlign w:val="center"/>
            <w:shd w:fill="FFFFFF" w:val="clear"/>
          </w:tcPr>
          <w:p>
            <w:pPr>
              <w:pStyle w:val="Tabletext"/>
            </w:pPr>
            <w:r>
              <w:t>Administrador humano</w:t>
            </w:r>
          </w:p>
        </w:tc>
        <w:tc>
          <w:tcPr>
            <w:tcW w:type="dxa" w:w="3283"/>
            <w:vAlign w:val="center"/>
            <w:shd w:fill="FFFFFF" w:val="clear"/>
          </w:tcPr>
          <w:p>
            <w:pPr>
              <w:pStyle w:val="Tabletext"/>
            </w:pPr>
            <w:r>
              <w:t>Políticas, delegação e decisão final</w:t>
            </w:r>
          </w:p>
        </w:tc>
        <w:tc>
          <w:tcPr>
            <w:tcW w:type="dxa" w:w="4118"/>
            <w:vAlign w:val="center"/>
            <w:shd w:fill="FFFFFF" w:val="clear"/>
          </w:tcPr>
          <w:p>
            <w:pPr>
              <w:pStyle w:val="Tabletext"/>
            </w:pPr>
            <w:r>
              <w:t>Supervisiona coordenação e auditoria</w:t>
            </w:r>
          </w:p>
        </w:tc>
      </w:tr>
      <w:tr>
        <w:trPr>
          <w:cantSplit/>
        </w:trPr>
        <w:tc>
          <w:tcPr>
            <w:tcW w:type="dxa" w:w="2477"/>
            <w:vAlign w:val="center"/>
            <w:shd w:fill="F2F5F7" w:val="clear"/>
          </w:tcPr>
          <w:p>
            <w:pPr>
              <w:pStyle w:val="Tabletext"/>
            </w:pPr>
            <w:r>
              <w:t>Orchestrator global</w:t>
            </w:r>
          </w:p>
        </w:tc>
        <w:tc>
          <w:tcPr>
            <w:tcW w:type="dxa" w:w="3283"/>
            <w:vAlign w:val="center"/>
            <w:shd w:fill="F2F5F7" w:val="clear"/>
          </w:tcPr>
          <w:p>
            <w:pPr>
              <w:pStyle w:val="Tabletext"/>
            </w:pPr>
            <w:r>
              <w:t>Coordenação transversal</w:t>
            </w:r>
          </w:p>
        </w:tc>
        <w:tc>
          <w:tcPr>
            <w:tcW w:type="dxa" w:w="4118"/>
            <w:vAlign w:val="center"/>
            <w:shd w:fill="F2F5F7" w:val="clear"/>
          </w:tcPr>
          <w:p>
            <w:pPr>
              <w:pStyle w:val="Tabletext"/>
            </w:pPr>
            <w:r>
              <w:t>Delega nos SubOrchestrators</w:t>
            </w:r>
          </w:p>
        </w:tc>
      </w:tr>
      <w:tr>
        <w:trPr>
          <w:cantSplit/>
        </w:trPr>
        <w:tc>
          <w:tcPr>
            <w:tcW w:type="dxa" w:w="2477"/>
            <w:vAlign w:val="center"/>
            <w:shd w:fill="FFFFFF" w:val="clear"/>
          </w:tcPr>
          <w:p>
            <w:pPr>
              <w:pStyle w:val="Tabletext"/>
            </w:pPr>
            <w:r>
              <w:t>SubOrchestrator de projeto</w:t>
            </w:r>
          </w:p>
        </w:tc>
        <w:tc>
          <w:tcPr>
            <w:tcW w:type="dxa" w:w="3283"/>
            <w:vAlign w:val="center"/>
            <w:shd w:fill="FFFFFF" w:val="clear"/>
          </w:tcPr>
          <w:p>
            <w:pPr>
              <w:pStyle w:val="Tabletext"/>
            </w:pPr>
            <w:r>
              <w:t>Trabalho e recursos autorizados do projeto</w:t>
            </w:r>
          </w:p>
        </w:tc>
        <w:tc>
          <w:tcPr>
            <w:tcW w:type="dxa" w:w="4118"/>
            <w:vAlign w:val="center"/>
            <w:shd w:fill="FFFFFF" w:val="clear"/>
          </w:tcPr>
          <w:p>
            <w:pPr>
              <w:pStyle w:val="Tabletext"/>
            </w:pPr>
            <w:r>
              <w:t>Delega nos agentes do projeto</w:t>
            </w:r>
          </w:p>
        </w:tc>
      </w:tr>
      <w:tr>
        <w:trPr>
          <w:cantSplit/>
        </w:trPr>
        <w:tc>
          <w:tcPr>
            <w:tcW w:type="dxa" w:w="2477"/>
            <w:vAlign w:val="center"/>
            <w:shd w:fill="F2F5F7" w:val="clear"/>
          </w:tcPr>
          <w:p>
            <w:pPr>
              <w:pStyle w:val="Tabletext"/>
            </w:pPr>
            <w:r>
              <w:t>Agentes executores</w:t>
            </w:r>
          </w:p>
        </w:tc>
        <w:tc>
          <w:tcPr>
            <w:tcW w:type="dxa" w:w="3283"/>
            <w:vAlign w:val="center"/>
            <w:shd w:fill="F2F5F7" w:val="clear"/>
          </w:tcPr>
          <w:p>
            <w:pPr>
              <w:pStyle w:val="Tabletext"/>
            </w:pPr>
            <w:r>
              <w:t>Tarefas e capacidades recebidas</w:t>
            </w:r>
          </w:p>
        </w:tc>
        <w:tc>
          <w:tcPr>
            <w:tcW w:type="dxa" w:w="4118"/>
            <w:vAlign w:val="center"/>
            <w:shd w:fill="F2F5F7" w:val="clear"/>
          </w:tcPr>
          <w:p>
            <w:pPr>
              <w:pStyle w:val="Tabletext"/>
            </w:pPr>
            <w:r>
              <w:t>Reportam pela hierarquia autorizada</w:t>
            </w:r>
          </w:p>
        </w:tc>
      </w:tr>
      <w:tr>
        <w:trPr>
          <w:cantSplit/>
        </w:trPr>
        <w:tc>
          <w:tcPr>
            <w:tcW w:type="dxa" w:w="2477"/>
            <w:vAlign w:val="center"/>
            <w:shd w:fill="FFFFFF" w:val="clear"/>
          </w:tcPr>
          <w:p>
            <w:pPr>
              <w:pStyle w:val="Tabletext"/>
            </w:pPr>
            <w:r>
              <w:t>Global Auditor</w:t>
            </w:r>
          </w:p>
        </w:tc>
        <w:tc>
          <w:tcPr>
            <w:tcW w:type="dxa" w:w="3283"/>
            <w:vAlign w:val="center"/>
            <w:shd w:fill="FFFFFF" w:val="clear"/>
          </w:tcPr>
          <w:p>
            <w:pPr>
              <w:pStyle w:val="Tabletext"/>
            </w:pPr>
            <w:r>
              <w:t>Supervisão independente</w:t>
            </w:r>
          </w:p>
        </w:tc>
        <w:tc>
          <w:tcPr>
            <w:tcW w:type="dxa" w:w="4118"/>
            <w:vAlign w:val="center"/>
            <w:shd w:fill="FFFFFF" w:val="clear"/>
          </w:tcPr>
          <w:p>
            <w:pPr>
              <w:pStyle w:val="Tabletext"/>
            </w:pPr>
            <w:r>
              <w:t>Reporta ao administrador humano</w:t>
            </w:r>
          </w:p>
        </w:tc>
      </w:tr>
      <w:tr>
        <w:trPr>
          <w:cantSplit/>
        </w:trPr>
        <w:tc>
          <w:tcPr>
            <w:tcW w:type="dxa" w:w="2477"/>
            <w:vAlign w:val="center"/>
            <w:shd w:fill="F2F5F7" w:val="clear"/>
          </w:tcPr>
          <w:p>
            <w:pPr>
              <w:pStyle w:val="Tabletext"/>
            </w:pPr>
            <w:r>
              <w:t>Project Auditors</w:t>
            </w:r>
          </w:p>
        </w:tc>
        <w:tc>
          <w:tcPr>
            <w:tcW w:type="dxa" w:w="3283"/>
            <w:vAlign w:val="center"/>
            <w:shd w:fill="F2F5F7" w:val="clear"/>
          </w:tcPr>
          <w:p>
            <w:pPr>
              <w:pStyle w:val="Tabletext"/>
            </w:pPr>
            <w:r>
              <w:t>Evidência e verificações dos projetos</w:t>
            </w:r>
          </w:p>
        </w:tc>
        <w:tc>
          <w:tcPr>
            <w:tcW w:type="dxa" w:w="4118"/>
            <w:vAlign w:val="center"/>
            <w:shd w:fill="F2F5F7" w:val="clear"/>
          </w:tcPr>
          <w:p>
            <w:pPr>
              <w:pStyle w:val="Tabletext"/>
            </w:pPr>
            <w:r>
              <w:t>Reportam ao Global Auditor</w:t>
            </w:r>
          </w:p>
        </w:tc>
      </w:tr>
    </w:tbl>
    <w:p>
      <w:pPr>
        <w:spacing w:after="20" w:before="0" w:line="60" w:lineRule="exact"/>
      </w:pPr>
      <w:r>
        <w:rPr>
          <w:sz w:val="6"/>
        </w:rPr>
      </w:r>
    </w:p>
    <w:p>
      <w:bookmarkStart w:id="50" w:name="GOV_001"/>
      <w:pPr>
        <w:pStyle w:val="Requirement"/>
      </w:pPr>
      <w:r>
        <w:rPr>
          <w:b/>
        </w:rPr>
        <w:t>GOV-001 Autoridade humana.</w:t>
      </w:r>
      <w:r>
        <w:t xml:space="preserve"> A TriX DEVE reconhecer a autoridade humana final sobre políticas, delegações e revogações. A execução abrangida por autorizações vigentes DEVE poder prosseguir autonomamente, sem pedidos repetidos de confirmação.</w:t>
      </w:r>
      <w:bookmarkEnd w:id="50"/>
    </w:p>
    <w:p>
      <w:bookmarkStart w:id="51" w:name="GOV_002"/>
      <w:pPr>
        <w:pStyle w:val="Requirement"/>
      </w:pPr>
      <w:r>
        <w:rPr>
          <w:b/>
        </w:rPr>
        <w:t>GOV-002 Contexto e hierarquia.</w:t>
      </w:r>
      <w:r>
        <w:t xml:space="preserve"> Cada tarefa DEVE identificar projeto, autoridade emitente, âmbito e versão de política. A delegação DEVE respeitar esses limites. No perfil de referência, cada projeto DEVE ter um SubOrchestrator e um Project Auditor. O SubOrchestrator reporta ao Orchestrator global; o Project Auditor reporta ao Global Auditor, que reporta ao administrador humano. A coordenação NÃO DEVE subordinar a linha de auditoria.</w:t>
      </w:r>
      <w:bookmarkEnd w:id="51"/>
    </w:p>
    <w:p>
      <w:bookmarkStart w:id="52" w:name="GOV_003"/>
      <w:pPr>
        <w:pStyle w:val="Requirement"/>
      </w:pPr>
      <w:r>
        <w:rPr>
          <w:b/>
        </w:rPr>
        <w:t>GOV-003 Canais dos agentes.</w:t>
      </w:r>
      <w:r>
        <w:t xml:space="preserve"> No perfil de governação de referência, agentes e subagentes abaixo do Orchestrator NÃO DEVEM estabelecer comunicação autónoma entre pares. Delegações e resultados DEVEM seguir as rotas autorizadas. Transferências técnicas entre executores PODEM ocorrer sem criar novos canais autónomos entre agentes.</w:t>
      </w:r>
      <w:bookmarkEnd w:id="52"/>
    </w:p>
    <w:p>
      <w:bookmarkStart w:id="53" w:name="GOV_004"/>
      <w:pPr>
        <w:pStyle w:val="Requirement"/>
      </w:pPr>
      <w:r>
        <w:rPr>
          <w:b/>
        </w:rPr>
        <w:t>GOV-004 Auditoria separada.</w:t>
      </w:r>
      <w:r>
        <w:t xml:space="preserve"> As identidades e permissões dos auditores DEVEM estar separadas das dos componentes supervisionados. Credenciais operacionais NÃO DEVEM autorizar alteração ou eliminação da evidência de auditoria nem das permissões dos auditores. Alterações administrativas autorizadas DEVEM seguir um procedimento separado e produzir evidência verificável segundo o modelo de confiança publicado.</w:t>
      </w:r>
      <w:bookmarkEnd w:id="53"/>
    </w:p>
    <w:p>
      <w:bookmarkStart w:id="54" w:name="GOV_005"/>
      <w:pPr>
        <w:pStyle w:val="Requirement"/>
      </w:pPr>
      <w:r>
        <w:rPr>
          <w:b/>
        </w:rPr>
        <w:t>GOV-005 Políticas aplicadas.</w:t>
      </w:r>
      <w:r>
        <w:t xml:space="preserve"> Verificações de autoridade DEVEM ocorrer nas fronteiras relevantes de acesso. Cada perfil DEVE definir a propagação das revogações, a validade de autorizações em cache e o comportamento sem ligação. Uma revogação recebida e validada DEVE impedir novos efeitos abrangidos e desencadear o tratamento do trabalho em curso. Execução offline NÃO DEVE prolongar a validade nem o âmbito previamente concedidos.</w:t>
      </w:r>
      <w:bookmarkEnd w:id="54"/>
    </w:p>
    <w:p>
      <w:bookmarkStart w:id="55" w:name="GOV_006"/>
      <w:pPr>
        <w:pStyle w:val="Requirement"/>
      </w:pPr>
      <w:r>
        <w:rPr>
          <w:b/>
        </w:rPr>
        <w:t>GOV-006 Coordenação replicada.</w:t>
      </w:r>
      <w:r>
        <w:t xml:space="preserve"> Se a coordenação for replicada, a implementação DEVE impedir que coordenadores concorrentes emitam ordens incompatíveis sobre o mesmo recurso. A recuperação DEVE conservar a identidade e a autoridade dos trabalhos.</w:t>
      </w:r>
      <w:bookmarkEnd w:id="55"/>
    </w:p>
    <w:p>
      <w:bookmarkStart w:id="56" w:name="GOV_007"/>
      <w:pPr>
        <w:pStyle w:val="Requirement"/>
      </w:pPr>
      <w:r>
        <w:rPr>
          <w:b/>
        </w:rPr>
        <w:t>GOV-007 Conteúdo externo.</w:t>
      </w:r>
      <w:r>
        <w:t xml:space="preserve"> Instruções presentes em documentos, respostas de modelos ou resultados de ferramentas NÃO DEVEM tornar-se políticas executáveis por si próprias. O sistema DEVE conservar a distinção entre dados recebidos e autoridade concedida.</w:t>
      </w:r>
      <w:bookmarkEnd w:id="56"/>
    </w:p>
    <w:p>
      <w:bookmarkStart w:id="57" w:name="GOV_008"/>
      <w:pPr>
        <w:pStyle w:val="Requirement"/>
      </w:pPr>
      <w:r>
        <w:rPr>
          <w:b/>
        </w:rPr>
        <w:t>GOV-008 Identidade dos componentes.</w:t>
      </w:r>
      <w:r>
        <w:t xml:space="preserve"> Nós, coordenadores, clientes e fornecedores DEVEM ser autenticados nas ligações relevantes. O transporte DEVE proteger integridade e confidencialidade segundo o modelo de confiança definido. Um nome de nó ou identificador de tarefa NÃO DEVE funcionar como credencial de acesso.</w:t>
      </w:r>
      <w:bookmarkEnd w:id="57"/>
    </w:p>
    <w:p>
      <w:bookmarkStart w:id="58" w:name="GOV_009"/>
      <w:pPr>
        <w:pStyle w:val="Requirement"/>
      </w:pPr>
      <w:r>
        <w:rPr>
          <w:b/>
        </w:rPr>
        <w:t>GOV-009 Segredos e confiança.</w:t>
      </w:r>
      <w:r>
        <w:t xml:space="preserve"> Credenciais DEVEM permanecer fora dos programas, planos e registos que não estejam autorizados a contê-las. A especificação DEVE publicar os seus pressupostos de confiança, incluindo a autoridade dos administradores do sistema e as limitações do isolamento utilizado.</w:t>
      </w:r>
      <w:bookmarkEnd w:id="58"/>
    </w:p>
    <w:p>
      <w:r>
        <w:t>A auditoria pode detetar desvios e produzir evidência. Ela não substitui os mecanismos que aplicam permissões no momento da execução.</w:t>
      </w:r>
    </w:p>
    <w:p>
      <w:bookmarkStart w:id="59" w:name="chapter_8"/>
      <w:pPr>
        <w:pStyle w:val="Heading1"/>
      </w:pPr>
      <w:r>
        <w:t>8 Contratos de tarefas e tratamento de falhas</w:t>
      </w:r>
      <w:bookmarkEnd w:id="59"/>
    </w:p>
    <w:p>
      <w:r>
        <w:t>Uma tarefa é uma unidade lógica de trabalho. Uma tentativa é uma execução concreta dessa tarefa. Um efeito é uma alteração observável fora do cálculo local, como gravar um artefacto, iniciar um processo ou realizar uma chamada externa.</w:t>
      </w:r>
    </w:p>
    <w:p>
      <w:bookmarkStart w:id="60" w:name="TAR_001"/>
      <w:pPr>
        <w:pStyle w:val="Requirement"/>
      </w:pPr>
      <w:r>
        <w:rPr>
          <w:b/>
        </w:rPr>
        <w:t>TAR-001 Contrato.</w:t>
      </w:r>
      <w:r>
        <w:t xml:space="preserve"> Cada tarefa DEVE declarar entradas, saídas, efeitos permitidos, requisitos, critérios de conclusão e comportamento perante indisponibilidade. Modelos, ferramentas e políticas DEVEM ser identificados por versão ou regra explícita de resolução.</w:t>
      </w:r>
      <w:bookmarkEnd w:id="60"/>
    </w:p>
    <w:p>
      <w:bookmarkStart w:id="61" w:name="TAR_002"/>
      <w:pPr>
        <w:pStyle w:val="Requirement"/>
      </w:pPr>
      <w:r>
        <w:rPr>
          <w:b/>
        </w:rPr>
        <w:t>TAR-002 Identidade.</w:t>
      </w:r>
      <w:r>
        <w:t xml:space="preserve"> Trabalho, tarefa, tentativa e efeito externo DEVEM ter identidades distinguíveis. Uma nova tentativa NÃO DEVE apagar o histórico nem criar uma nova autorização implícita.</w:t>
      </w:r>
      <w:bookmarkEnd w:id="61"/>
    </w:p>
    <w:p>
      <w:bookmarkStart w:id="62" w:name="TAR_003"/>
      <w:pPr>
        <w:pStyle w:val="Requirement"/>
      </w:pPr>
      <w:r>
        <w:rPr>
          <w:b/>
        </w:rPr>
        <w:t>TAR-003 Estados.</w:t>
      </w:r>
      <w:r>
        <w:t xml:space="preserve"> O sistema DEVE distinguir pelo menos criada, validada, em fila, em execução, em cancelamento, concluída, falhada, cancelada e pendente de reconciliação. Reserva, espera ou suspensão PODEM acrescentar estados com semântica própria. Transições DEVEM ser verificadas e registadas.</w:t>
      </w:r>
      <w:bookmarkEnd w:id="62"/>
    </w:p>
    <w:p>
      <w:bookmarkStart w:id="63" w:name="TAR_004"/>
      <w:pPr>
        <w:pStyle w:val="Requirement"/>
      </w:pPr>
      <w:r>
        <w:rPr>
          <w:b/>
        </w:rPr>
        <w:t>TAR-004 Conclusão.</w:t>
      </w:r>
      <w:r>
        <w:t xml:space="preserve"> Uma tarefa só DEVE ser declarada concluída depois da verificação do contrato de saída e dos efeitos conhecidos. Falta de resposta com resultado incerto DEVE produzir reconciliação quando não seja possível determinar o desfecho.</w:t>
      </w:r>
      <w:bookmarkEnd w:id="63"/>
    </w:p>
    <w:p>
      <w:bookmarkStart w:id="64" w:name="TAR_005"/>
      <w:pPr>
        <w:pStyle w:val="Requirement"/>
      </w:pPr>
      <w:r>
        <w:rPr>
          <w:b/>
        </w:rPr>
        <w:t>TAR-005 Repetição.</w:t>
      </w:r>
      <w:r>
        <w:t xml:space="preserve"> A política de repetição DEVE distinguir cálculo repetível, efeitos idempotentes e efeitos que exigem reconciliação. A TriX NÃO DEVE prometer execução exatamente uma vez para efeitos arbitrários em sistemas externos.</w:t>
      </w:r>
      <w:bookmarkEnd w:id="64"/>
    </w:p>
    <w:p>
      <w:bookmarkStart w:id="65" w:name="TAR_006"/>
      <w:pPr>
        <w:pStyle w:val="Requirement"/>
      </w:pPr>
      <w:r>
        <w:rPr>
          <w:b/>
        </w:rPr>
        <w:t>TAR-006 Deduplicação.</w:t>
      </w:r>
      <w:r>
        <w:t xml:space="preserve"> Efeitos repetíveis DEVEM utilizar identificação, deduplicação ou mecanismos equivalentes adequados ao destino. Quando esses mecanismos não existam, a tarefa DEVE seguir uma política explícita de verificação ou intervenção.</w:t>
      </w:r>
      <w:bookmarkEnd w:id="65"/>
    </w:p>
    <w:p>
      <w:bookmarkStart w:id="66" w:name="TAR_007"/>
      <w:pPr>
        <w:pStyle w:val="Requirement"/>
      </w:pPr>
      <w:r>
        <w:rPr>
          <w:b/>
        </w:rPr>
        <w:t>TAR-007 Cancelamento real.</w:t>
      </w:r>
      <w:r>
        <w:t xml:space="preserve"> O executor DEVE comunicar se o cancelamento é cooperativo, dependente de uma etapa ou conseguido por interrupção do processo. Efeitos já realizados DEVEM permanecer registados e não podem ser considerados revertidos sem confirmação.</w:t>
      </w:r>
      <w:bookmarkEnd w:id="66"/>
    </w:p>
    <w:p>
      <w:bookmarkStart w:id="67" w:name="TAR_008"/>
      <w:pPr>
        <w:pStyle w:val="Requirement"/>
      </w:pPr>
      <w:r>
        <w:rPr>
          <w:b/>
        </w:rPr>
        <w:t>TAR-008 Checkpoints.</w:t>
      </w:r>
      <w:r>
        <w:t xml:space="preserve"> Um checkpoint DEVE identificar conteúdo, versões, unidade de retoma e condições de compatibilidade. Estado lógico de uma sessão NÃO DEVE ser confundido com estado de GPU, memória de processo ou KV cache transferível.</w:t>
      </w:r>
      <w:bookmarkEnd w:id="67"/>
    </w:p>
    <w:p>
      <w:bookmarkStart w:id="68" w:name="TAR_009"/>
      <w:pPr>
        <w:pStyle w:val="Requirement"/>
      </w:pPr>
      <w:r>
        <w:rPr>
          <w:b/>
        </w:rPr>
        <w:t>TAR-009 Continuidade offline.</w:t>
      </w:r>
      <w:r>
        <w:t xml:space="preserve"> Cada fluxo DEVE definir o comportamento perante perda de ligação. O modo offline NÃO DEVE ampliar permissões, exportar dados por outro canal ou criar autoridade concorrente sobre recursos partilhados.</w:t>
      </w:r>
      <w:bookmarkEnd w:id="68"/>
    </w:p>
    <w:p>
      <w:bookmarkStart w:id="69" w:name="TAR_010"/>
      <w:pPr>
        <w:pStyle w:val="Requirement"/>
      </w:pPr>
      <w:r>
        <w:rPr>
          <w:b/>
        </w:rPr>
        <w:t>TAR-010 Proveniência.</w:t>
      </w:r>
      <w:r>
        <w:t xml:space="preserve"> A execução DEVE conservar a evidência necessária para identificar código, políticas, modelos, entradas, tentativas e resultados. O conteúdo registado DEVE obedecer às regras de acesso e conservação.</w:t>
      </w:r>
      <w:bookmarkEnd w:id="69"/>
    </w:p>
    <w:p>
      <w:bookmarkStart w:id="70" w:name="TAR_011"/>
      <w:pPr>
        <w:pStyle w:val="Requirement"/>
      </w:pPr>
      <w:r>
        <w:rPr>
          <w:b/>
        </w:rPr>
        <w:t>TAR-011 Recuperação.</w:t>
      </w:r>
      <w:r>
        <w:t xml:space="preserve"> Cada perfil operacional DEVE definir os seus objetivos de recuperação, a possibilidade de perda de progresso e os mecanismos de reconciliação. Objetivos não medidos DEVEM ser apresentados como objetivos, sem garantia operacional indevida.</w:t>
      </w:r>
      <w:bookmarkEnd w:id="70"/>
    </w:p>
    <w:p>
      <w:bookmarkStart w:id="71" w:name="chapter_9"/>
      <w:pPr>
        <w:pStyle w:val="Heading1"/>
      </w:pPr>
      <w:r>
        <w:t>9 Dados modelos e memória</w:t>
      </w:r>
      <w:bookmarkEnd w:id="71"/>
    </w:p>
    <w:p>
      <w:r>
        <w:t>Os dados e modelos são recursos com identidade, localização e regras de utilização. O planeamento deve conhecer essas propriedades antes de escolher onde executar.</w:t>
      </w:r>
    </w:p>
    <w:p>
      <w:bookmarkStart w:id="72" w:name="DAD_001"/>
      <w:pPr>
        <w:pStyle w:val="Requirement"/>
      </w:pPr>
      <w:r>
        <w:rPr>
          <w:b/>
        </w:rPr>
        <w:t>DAD-001 Classificação.</w:t>
      </w:r>
      <w:r>
        <w:t xml:space="preserve"> Dados e artefactos DEVEM identificar projeto, acesso permitido, destinos autorizados e política de conservação. Essas propriedades DEVEM ser verificadas no planeamento e no acesso efetivo.</w:t>
      </w:r>
      <w:bookmarkEnd w:id="72"/>
    </w:p>
    <w:p>
      <w:bookmarkStart w:id="73" w:name="DAD_002"/>
      <w:pPr>
        <w:pStyle w:val="Requirement"/>
      </w:pPr>
      <w:r>
        <w:rPr>
          <w:b/>
        </w:rPr>
        <w:t>DAD-002 Derivados.</w:t>
      </w:r>
      <w:r>
        <w:t xml:space="preserve"> Excertos, resumos, embeddings, transcrições, imagens extraídas e resultados intermédios DEVEM conservar as restrições aplicáveis à origem. Reclassificação ou exportação DEVE ser explícita e autorizada. A TriX NÃO DEVE alegar anonimização automática apenas por transformar os dados.</w:t>
      </w:r>
      <w:bookmarkEnd w:id="73"/>
    </w:p>
    <w:p>
      <w:bookmarkStart w:id="74" w:name="DAD_003"/>
      <w:pPr>
        <w:pStyle w:val="Requirement"/>
      </w:pPr>
      <w:r>
        <w:rPr>
          <w:b/>
        </w:rPr>
        <w:t>DAD-003 Identidade dos modelos.</w:t>
      </w:r>
      <w:r>
        <w:t xml:space="preserve"> Um modelo DEVE ser identificado com a precisão necessária à tarefa: revisão dos pesos, tokenizer, formato, quantização, configuração, contexto e capacidades. Uma designação comercial isolada não deve substituir esta identidade quando a reprodução exige maior precisão.</w:t>
      </w:r>
      <w:bookmarkEnd w:id="74"/>
    </w:p>
    <w:p>
      <w:bookmarkStart w:id="75" w:name="DAD_004"/>
      <w:pPr>
        <w:pStyle w:val="Requirement"/>
      </w:pPr>
      <w:r>
        <w:rPr>
          <w:b/>
        </w:rPr>
        <w:t>DAD-004 Substituição.</w:t>
      </w:r>
      <w:r>
        <w:t xml:space="preserve"> Alterar modelo, quantização, precisão ou implementação DEVE respeitar as alternativas autorizadas e os critérios de qualidade do contrato. Capacidade livre ou menor custo NÃO DEVEM justificar uma alteração silenciosa.</w:t>
      </w:r>
      <w:bookmarkEnd w:id="75"/>
    </w:p>
    <w:p>
      <w:bookmarkStart w:id="76" w:name="DAD_005"/>
      <w:pPr>
        <w:pStyle w:val="Requirement"/>
      </w:pPr>
      <w:r>
        <w:rPr>
          <w:b/>
        </w:rPr>
        <w:t>DAD-005 Multimodalidade.</w:t>
      </w:r>
      <w:r>
        <w:t xml:space="preserve"> Entradas e saídas multimodais DEVEM declarar formatos e limites relevantes, incluindo dimensões, duração ou volume quando aplicável. Conversões DEVEM preservar proveniência e indicar perdas relevantes para a tarefa.</w:t>
      </w:r>
      <w:bookmarkEnd w:id="76"/>
    </w:p>
    <w:p>
      <w:bookmarkStart w:id="77" w:name="DAD_006"/>
      <w:pPr>
        <w:pStyle w:val="Requirement"/>
      </w:pPr>
      <w:r>
        <w:rPr>
          <w:b/>
        </w:rPr>
        <w:t>DAD-006 Memória.</w:t>
      </w:r>
      <w:r>
        <w:t xml:space="preserve"> A admissão DEVE considerar pesos, caches, buffers, temporários e margem operacional pertinentes. A estimativa DEVE distinguir memória da CPU, memória do acelerador e memória unificada realmente partilhada.</w:t>
      </w:r>
      <w:bookmarkEnd w:id="77"/>
    </w:p>
    <w:p>
      <w:bookmarkStart w:id="78" w:name="DAD_007"/>
      <w:pPr>
        <w:pStyle w:val="Requirement"/>
      </w:pPr>
      <w:r>
        <w:rPr>
          <w:b/>
        </w:rPr>
        <w:t>DAD-007 Caches.</w:t>
      </w:r>
      <w:r>
        <w:t xml:space="preserve"> A reutilização de caches DEVE respeitar modelo, configuração e autorização dos dados. O sistema DEVE impedir que uma cache constitua um caminho de acesso não autorizado entre projetos.</w:t>
      </w:r>
      <w:bookmarkEnd w:id="78"/>
    </w:p>
    <w:p>
      <w:bookmarkStart w:id="79" w:name="DAD_008"/>
      <w:pPr>
        <w:pStyle w:val="Requirement"/>
      </w:pPr>
      <w:r>
        <w:rPr>
          <w:b/>
        </w:rPr>
        <w:t>DAD-008 Distribuição.</w:t>
      </w:r>
      <w:r>
        <w:t xml:space="preserve"> A localização de artefactos, transferências e réplicas DEVE ser explícita. Memória agregada entre nós NÃO DEVE ser apresentada como memória coerente utilizável por qualquer processo.</w:t>
      </w:r>
      <w:bookmarkEnd w:id="79"/>
    </w:p>
    <w:p>
      <w:bookmarkStart w:id="80" w:name="DAD_009"/>
      <w:pPr>
        <w:pStyle w:val="Requirement"/>
      </w:pPr>
      <w:r>
        <w:rPr>
          <w:b/>
        </w:rPr>
        <w:t>DAD-009 Consistência.</w:t>
      </w:r>
      <w:r>
        <w:t xml:space="preserve"> A especificação DEVE definir a consistência das alterações a projetos, artefactos e metadados partilhados. Resultados produzidos sob versões diferentes DEVEM ser distinguíveis. Conflitos de escrita DEVEM ter resolução documentada.</w:t>
      </w:r>
      <w:bookmarkEnd w:id="80"/>
    </w:p>
    <w:p>
      <w:bookmarkStart w:id="81" w:name="DAD_010"/>
      <w:pPr>
        <w:pStyle w:val="Requirement"/>
      </w:pPr>
      <w:r>
        <w:rPr>
          <w:b/>
        </w:rPr>
        <w:t>DAD-010 Conservação e eliminação.</w:t>
      </w:r>
      <w:r>
        <w:t xml:space="preserve"> O produto DEVE permitir aplicar políticas de conservação e eliminação. DEVE distinguir remoção lógica, revogação de acesso e garantias de eliminação física que o ambiente consiga efetivamente oferecer.</w:t>
      </w:r>
      <w:bookmarkEnd w:id="81"/>
    </w:p>
    <w:p>
      <w:bookmarkStart w:id="82" w:name="chapter_10"/>
      <w:pPr>
        <w:pStyle w:val="Heading1"/>
      </w:pPr>
      <w:r>
        <w:t>10 Recursos prioridades e seleção de destinos</w:t>
      </w:r>
      <w:bookmarkEnd w:id="82"/>
    </w:p>
    <w:p>
      <w:r>
        <w:t>A seleção deve começar pela elegibilidade. Só depois se comparam desempenho, custo, energia ou preferências de utilização.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2477"/>
        <w:gridCol w:w="3283"/>
        <w:gridCol w:w="4118"/>
      </w:tblGrid>
      <w:tr>
        <w:trPr>
          <w:cantSplit/>
          <w:tblHeader w:val="true"/>
        </w:trPr>
        <w:tc>
          <w:tcPr>
            <w:tcW w:type="dxa" w:w="2477"/>
            <w:vAlign w:val="center"/>
            <w:shd w:fill="26313D" w:val="clear"/>
          </w:tcPr>
          <w:p>
            <w:pPr>
              <w:pStyle w:val="Tabletext"/>
            </w:pPr>
            <w:r>
              <w:rPr>
                <w:b/>
                <w:color w:val="FFFFFF"/>
              </w:rPr>
              <w:t>Categoria</w:t>
            </w:r>
          </w:p>
        </w:tc>
        <w:tc>
          <w:tcPr>
            <w:tcW w:type="dxa" w:w="3283"/>
            <w:vAlign w:val="center"/>
            <w:shd w:fill="26313D" w:val="clear"/>
          </w:tcPr>
          <w:p>
            <w:pPr>
              <w:pStyle w:val="Tabletext"/>
            </w:pPr>
            <w:r>
              <w:rPr>
                <w:b/>
                <w:color w:val="FFFFFF"/>
              </w:rPr>
              <w:t>Significado</w:t>
            </w:r>
          </w:p>
        </w:tc>
        <w:tc>
          <w:tcPr>
            <w:tcW w:type="dxa" w:w="4118"/>
            <w:vAlign w:val="center"/>
            <w:shd w:fill="26313D" w:val="clear"/>
          </w:tcPr>
          <w:p>
            <w:pPr>
              <w:pStyle w:val="Tabletext"/>
            </w:pPr>
            <w:r>
              <w:rPr>
                <w:b/>
                <w:color w:val="FFFFFF"/>
              </w:rPr>
              <w:t>Exemplo</w:t>
            </w:r>
          </w:p>
        </w:tc>
      </w:tr>
      <w:tr>
        <w:trPr>
          <w:cantSplit/>
        </w:trPr>
        <w:tc>
          <w:tcPr>
            <w:tcW w:type="dxa" w:w="2477"/>
            <w:vAlign w:val="center"/>
            <w:shd w:fill="FFFFFF" w:val="clear"/>
          </w:tcPr>
          <w:p>
            <w:pPr>
              <w:pStyle w:val="Tabletext"/>
            </w:pPr>
            <w:r>
              <w:t>Requisito</w:t>
            </w:r>
          </w:p>
        </w:tc>
        <w:tc>
          <w:tcPr>
            <w:tcW w:type="dxa" w:w="3283"/>
            <w:vAlign w:val="center"/>
            <w:shd w:fill="FFFFFF" w:val="clear"/>
          </w:tcPr>
          <w:p>
            <w:pPr>
              <w:pStyle w:val="Tabletext"/>
            </w:pPr>
            <w:r>
              <w:t>Condição obrigatória de elegibilidade</w:t>
            </w:r>
          </w:p>
        </w:tc>
        <w:tc>
          <w:tcPr>
            <w:tcW w:type="dxa" w:w="4118"/>
            <w:vAlign w:val="center"/>
            <w:shd w:fill="FFFFFF" w:val="clear"/>
          </w:tcPr>
          <w:p>
            <w:pPr>
              <w:pStyle w:val="Tabletext"/>
            </w:pPr>
            <w:r>
              <w:t>Dados permanecem numa zona autorizada</w:t>
            </w:r>
          </w:p>
        </w:tc>
      </w:tr>
      <w:tr>
        <w:trPr>
          <w:cantSplit/>
        </w:trPr>
        <w:tc>
          <w:tcPr>
            <w:tcW w:type="dxa" w:w="2477"/>
            <w:vAlign w:val="center"/>
            <w:shd w:fill="F2F5F7" w:val="clear"/>
          </w:tcPr>
          <w:p>
            <w:pPr>
              <w:pStyle w:val="Tabletext"/>
            </w:pPr>
            <w:r>
              <w:t>Reserva</w:t>
            </w:r>
          </w:p>
        </w:tc>
        <w:tc>
          <w:tcPr>
            <w:tcW w:type="dxa" w:w="3283"/>
            <w:vAlign w:val="center"/>
            <w:shd w:fill="F2F5F7" w:val="clear"/>
          </w:tcPr>
          <w:p>
            <w:pPr>
              <w:pStyle w:val="Tabletext"/>
            </w:pPr>
            <w:r>
              <w:t>Compromisso contabilístico de recursos</w:t>
            </w:r>
          </w:p>
        </w:tc>
        <w:tc>
          <w:tcPr>
            <w:tcW w:type="dxa" w:w="4118"/>
            <w:vAlign w:val="center"/>
            <w:shd w:fill="F2F5F7" w:val="clear"/>
          </w:tcPr>
          <w:p>
            <w:pPr>
              <w:pStyle w:val="Tabletext"/>
            </w:pPr>
            <w:r>
              <w:t>Capacidade reservada para uma tarefa admitida</w:t>
            </w:r>
          </w:p>
        </w:tc>
      </w:tr>
      <w:tr>
        <w:trPr>
          <w:cantSplit/>
        </w:trPr>
        <w:tc>
          <w:tcPr>
            <w:tcW w:type="dxa" w:w="2477"/>
            <w:vAlign w:val="center"/>
            <w:shd w:fill="FFFFFF" w:val="clear"/>
          </w:tcPr>
          <w:p>
            <w:pPr>
              <w:pStyle w:val="Tabletext"/>
            </w:pPr>
            <w:r>
              <w:t>Limite</w:t>
            </w:r>
          </w:p>
        </w:tc>
        <w:tc>
          <w:tcPr>
            <w:tcW w:type="dxa" w:w="3283"/>
            <w:vAlign w:val="center"/>
            <w:shd w:fill="FFFFFF" w:val="clear"/>
          </w:tcPr>
          <w:p>
            <w:pPr>
              <w:pStyle w:val="Tabletext"/>
            </w:pPr>
            <w:r>
              <w:t>Restrição aplicável por um mecanismo identificado</w:t>
            </w:r>
          </w:p>
        </w:tc>
        <w:tc>
          <w:tcPr>
            <w:tcW w:type="dxa" w:w="4118"/>
            <w:vAlign w:val="center"/>
            <w:shd w:fill="FFFFFF" w:val="clear"/>
          </w:tcPr>
          <w:p>
            <w:pPr>
              <w:pStyle w:val="Tabletext"/>
            </w:pPr>
            <w:r>
              <w:t>Teto de memória suportado pelo ambiente</w:t>
            </w:r>
          </w:p>
        </w:tc>
      </w:tr>
      <w:tr>
        <w:trPr>
          <w:cantSplit/>
        </w:trPr>
        <w:tc>
          <w:tcPr>
            <w:tcW w:type="dxa" w:w="2477"/>
            <w:vAlign w:val="center"/>
            <w:shd w:fill="F2F5F7" w:val="clear"/>
          </w:tcPr>
          <w:p>
            <w:pPr>
              <w:pStyle w:val="Tabletext"/>
            </w:pPr>
            <w:r>
              <w:t>Objetivo</w:t>
            </w:r>
          </w:p>
        </w:tc>
        <w:tc>
          <w:tcPr>
            <w:tcW w:type="dxa" w:w="3283"/>
            <w:vAlign w:val="center"/>
            <w:shd w:fill="F2F5F7" w:val="clear"/>
          </w:tcPr>
          <w:p>
            <w:pPr>
              <w:pStyle w:val="Tabletext"/>
            </w:pPr>
            <w:r>
              <w:t>Resultado pretendido cuja satisfação é medida</w:t>
            </w:r>
          </w:p>
        </w:tc>
        <w:tc>
          <w:tcPr>
            <w:tcW w:type="dxa" w:w="4118"/>
            <w:vAlign w:val="center"/>
            <w:shd w:fill="F2F5F7" w:val="clear"/>
          </w:tcPr>
          <w:p>
            <w:pPr>
              <w:pStyle w:val="Tabletext"/>
            </w:pPr>
            <w:r>
              <w:t>Latência desejada</w:t>
            </w:r>
          </w:p>
        </w:tc>
      </w:tr>
      <w:tr>
        <w:trPr>
          <w:cantSplit/>
        </w:trPr>
        <w:tc>
          <w:tcPr>
            <w:tcW w:type="dxa" w:w="2477"/>
            <w:vAlign w:val="center"/>
            <w:shd w:fill="FFFFFF" w:val="clear"/>
          </w:tcPr>
          <w:p>
            <w:pPr>
              <w:pStyle w:val="Tabletext"/>
            </w:pPr>
            <w:r>
              <w:t>Preferência</w:t>
            </w:r>
          </w:p>
        </w:tc>
        <w:tc>
          <w:tcPr>
            <w:tcW w:type="dxa" w:w="3283"/>
            <w:vAlign w:val="center"/>
            <w:shd w:fill="FFFFFF" w:val="clear"/>
          </w:tcPr>
          <w:p>
            <w:pPr>
              <w:pStyle w:val="Tabletext"/>
            </w:pPr>
            <w:r>
              <w:t>Critério de escolha entre opções elegíveis</w:t>
            </w:r>
          </w:p>
        </w:tc>
        <w:tc>
          <w:tcPr>
            <w:tcW w:type="dxa" w:w="4118"/>
            <w:vAlign w:val="center"/>
            <w:shd w:fill="FFFFFF" w:val="clear"/>
          </w:tcPr>
          <w:p>
            <w:pPr>
              <w:pStyle w:val="Tabletext"/>
            </w:pPr>
            <w:r>
              <w:t>Priorizar recursos próprios</w:t>
            </w:r>
          </w:p>
        </w:tc>
      </w:tr>
      <w:tr>
        <w:trPr>
          <w:cantSplit/>
        </w:trPr>
        <w:tc>
          <w:tcPr>
            <w:tcW w:type="dxa" w:w="2477"/>
            <w:vAlign w:val="center"/>
            <w:shd w:fill="F2F5F7" w:val="clear"/>
          </w:tcPr>
          <w:p>
            <w:pPr>
              <w:pStyle w:val="Tabletext"/>
            </w:pPr>
            <w:r>
              <w:t>Observação</w:t>
            </w:r>
          </w:p>
        </w:tc>
        <w:tc>
          <w:tcPr>
            <w:tcW w:type="dxa" w:w="3283"/>
            <w:vAlign w:val="center"/>
            <w:shd w:fill="F2F5F7" w:val="clear"/>
          </w:tcPr>
          <w:p>
            <w:pPr>
              <w:pStyle w:val="Tabletext"/>
            </w:pPr>
            <w:r>
              <w:t>Valor medido durante a execução</w:t>
            </w:r>
          </w:p>
        </w:tc>
        <w:tc>
          <w:tcPr>
            <w:tcW w:type="dxa" w:w="4118"/>
            <w:vAlign w:val="center"/>
            <w:shd w:fill="F2F5F7" w:val="clear"/>
          </w:tcPr>
          <w:p>
            <w:pPr>
              <w:pStyle w:val="Tabletext"/>
            </w:pPr>
            <w:r>
              <w:t>Memória e tempo efetivamente usados</w:t>
            </w:r>
          </w:p>
        </w:tc>
      </w:tr>
    </w:tbl>
    <w:p>
      <w:pPr>
        <w:spacing w:after="20" w:before="0" w:line="60" w:lineRule="exact"/>
      </w:pPr>
      <w:r>
        <w:rPr>
          <w:sz w:val="6"/>
        </w:rPr>
      </w:r>
    </w:p>
    <w:p>
      <w:bookmarkStart w:id="83" w:name="REC_001"/>
      <w:pPr>
        <w:pStyle w:val="Requirement"/>
      </w:pPr>
      <w:r>
        <w:rPr>
          <w:b/>
        </w:rPr>
        <w:t>REC-001 Ordem de decisão.</w:t>
      </w:r>
      <w:r>
        <w:t xml:space="preserve"> Destinos proibidos, incompatíveis ou sem recursos admissíveis DEVEM ser excluídos antes da otimização. Prioridade, preço ou desempenho NÃO DEVEM compensar violação de um requisito obrigatório.</w:t>
      </w:r>
      <w:bookmarkEnd w:id="83"/>
    </w:p>
    <w:p>
      <w:bookmarkStart w:id="84" w:name="REC_002"/>
      <w:pPr>
        <w:pStyle w:val="Requirement"/>
      </w:pPr>
      <w:r>
        <w:rPr>
          <w:b/>
        </w:rPr>
        <w:t>REC-002 Aplicação de limites.</w:t>
      </w:r>
      <w:r>
        <w:t xml:space="preserve"> Um limite só DEVE ser anunciado como imposto quando existir um mecanismo adequado e verificado. Reserva contabilística ou observação de uso NÃO DEVE ser apresentada como isolamento físico.</w:t>
      </w:r>
      <w:bookmarkEnd w:id="84"/>
    </w:p>
    <w:p>
      <w:bookmarkStart w:id="85" w:name="REC_003"/>
      <w:pPr>
        <w:pStyle w:val="Requirement"/>
      </w:pPr>
      <w:r>
        <w:rPr>
          <w:b/>
        </w:rPr>
        <w:t>REC-003 Admissão.</w:t>
      </w:r>
      <w:r>
        <w:t xml:space="preserve"> A admissão DEVE considerar quotas, trabalho em curso e capacidade utilizável. RECOMENDA-SE proteger capacidade interativa e evitar espera indefinida de tarefas elegíveis, segundo políticas documentadas.</w:t>
      </w:r>
      <w:bookmarkEnd w:id="85"/>
    </w:p>
    <w:p>
      <w:bookmarkStart w:id="86" w:name="REC_004"/>
      <w:pPr>
        <w:pStyle w:val="Requirement"/>
      </w:pPr>
      <w:r>
        <w:rPr>
          <w:b/>
        </w:rPr>
        <w:t>REC-004 Rede e localização.</w:t>
      </w:r>
      <w:r>
        <w:t xml:space="preserve"> O planeamento DEVE considerar transferências, latência, largura de banda, disponibilidade de dados e custos de preparação relevantes. Um destino com cálculo mais rápido não deve ser escolhido sem considerar o fluxo completo.</w:t>
      </w:r>
      <w:bookmarkEnd w:id="86"/>
    </w:p>
    <w:p>
      <w:bookmarkStart w:id="87" w:name="REC_005"/>
      <w:pPr>
        <w:pStyle w:val="Requirement"/>
      </w:pPr>
      <w:r>
        <w:rPr>
          <w:b/>
        </w:rPr>
        <w:t>REC-005 Capacidade partilhada.</w:t>
      </w:r>
      <w:r>
        <w:t xml:space="preserve"> Recursos expostos por contentores, máquinas virtuais ou subsistemas sobre o mesmo equipamento DEVEM ter uma identidade física ou mecanismo equivalente de coordenação, para evitar dupla contabilização e sobre-reserva.</w:t>
      </w:r>
      <w:bookmarkEnd w:id="87"/>
    </w:p>
    <w:p>
      <w:bookmarkStart w:id="88" w:name="REC_006"/>
      <w:pPr>
        <w:pStyle w:val="Requirement"/>
      </w:pPr>
      <w:r>
        <w:rPr>
          <w:b/>
        </w:rPr>
        <w:t>REC-006 Mobilidade e energia.</w:t>
      </w:r>
      <w:r>
        <w:t xml:space="preserve"> Terminais DEVEM anunciar disponibilidade, estado de energia e limitações relevantes do sistema. A participação em tarefas DEVE respeitar as políticas do utilizador e a capacidade efetiva de continuar em segundo plano.</w:t>
      </w:r>
      <w:bookmarkEnd w:id="88"/>
    </w:p>
    <w:p>
      <w:bookmarkStart w:id="89" w:name="REC_007"/>
      <w:pPr>
        <w:pStyle w:val="Requirement"/>
      </w:pPr>
      <w:r>
        <w:rPr>
          <w:b/>
        </w:rPr>
        <w:t>REC-007 Custos externos.</w:t>
      </w:r>
      <w:r>
        <w:t xml:space="preserve"> Operações remotas DEVEM ter orçamento e política de admissão. Estimativas, custos confirmados e valores ainda incertos DEVEM ser distinguíveis. Se o fornecedor não permitir um teto estrito para um pedido em curso, essa limitação DEVE ser explícita.</w:t>
      </w:r>
      <w:bookmarkEnd w:id="89"/>
    </w:p>
    <w:p>
      <w:bookmarkStart w:id="90" w:name="REC_008"/>
      <w:pPr>
        <w:pStyle w:val="Requirement"/>
      </w:pPr>
      <w:r>
        <w:rPr>
          <w:b/>
        </w:rPr>
        <w:t>REC-008 Explicabilidade.</w:t>
      </w:r>
      <w:r>
        <w:t xml:space="preserve"> O sistema DEVE poder explicar por que escolheu ou excluiu um destino, sem revelar segredos ou dados de outros projetos. A ausência de destino elegível DEVE produzir espera, erro ou alternativa previamente autorizada.</w:t>
      </w:r>
      <w:bookmarkEnd w:id="90"/>
    </w:p>
    <w:p>
      <w:bookmarkStart w:id="91" w:name="chapter_11"/>
      <w:pPr>
        <w:pStyle w:val="Heading1"/>
      </w:pPr>
      <w:r>
        <w:t>11 Plataformas e compatibilidade</w:t>
      </w:r>
      <w:bookmarkEnd w:id="91"/>
    </w:p>
    <w:p>
      <w:r>
        <w:t>A unidade de compatibilidade inclui CPU e extensões de instruções, sistema operativo e versão, ABI, ambiente de execução, acelerador, controlador, motor, modelo e funcionalidade.</w:t>
      </w:r>
    </w:p>
    <w:p>
      <w:r>
        <w:t xml:space="preserve">x64, x86-64, x86_64 e AMD64 designam a arquitetura x86 de 64 bits. ARM64 ou AArch64 identifica outra arquitetura. Intel Arc é uma família de GPUs. Sistemas com a mesma arquitetura de CPU podem exigir binários diferentes por causa do sistema operativo e da ABI. Os destinos Rust e as ABIs Android ilustram esta separação. </w:t>
      </w:r>
      <w:hyperlink w:anchor="F04">
        <w:r>
          <w:rPr>
            <w:rFonts w:ascii="Nimbus Sans" w:hAnsi="Nimbus Sans"/>
            <w:color w:val="000000"/>
          </w:rPr>
          <w:t xml:space="preserve">[F04]</w:t>
        </w:r>
      </w:hyperlink>
      <w:r>
        <w:t xml:space="preserve"> </w:t>
      </w:r>
      <w:hyperlink w:anchor="F05">
        <w:r>
          <w:rPr>
            <w:rFonts w:ascii="Nimbus Sans" w:hAnsi="Nimbus Sans"/>
            <w:color w:val="000000"/>
          </w:rPr>
          <w:t xml:space="preserve">[F05]</w:t>
        </w:r>
      </w:hyperlink>
    </w:p>
    <w:p>
      <w:bookmarkStart w:id="92" w:name="PLT_001"/>
      <w:pPr>
        <w:pStyle w:val="Requirement"/>
      </w:pPr>
      <w:r>
        <w:rPr>
          <w:b/>
        </w:rPr>
        <w:t>PLT-001 Identificação do destino.</w:t>
      </w:r>
      <w:r>
        <w:t xml:space="preserve"> Cada pacote e executor DEVE declarar a combinação de plataforma pertinente. A categoria genérica Linux, Windows, ARM ou GPU não deve constituir a declaração final de compatibilidade.</w:t>
      </w:r>
      <w:bookmarkEnd w:id="92"/>
    </w:p>
    <w:p>
      <w:bookmarkStart w:id="93" w:name="PLT_002"/>
      <w:pPr>
        <w:pStyle w:val="Requirement"/>
      </w:pPr>
      <w:r>
        <w:rPr>
          <w:b/>
        </w:rPr>
        <w:t>PLT-002 Arquitetura observada.</w:t>
      </w:r>
      <w:r>
        <w:t xml:space="preserve"> O inventário DEVE distinguir arquitetura física, arquitetura do processo e execução nativa, emulada ou virtualizada. Extensões opcionais da CPU DEVEM ser verificadas antes da utilização.</w:t>
      </w:r>
      <w:bookmarkEnd w:id="93"/>
    </w:p>
    <w:p>
      <w:bookmarkStart w:id="94" w:name="PLT_003"/>
      <w:pPr>
        <w:pStyle w:val="Requirement"/>
      </w:pPr>
      <w:r>
        <w:rPr>
          <w:b/>
        </w:rPr>
        <w:t>PLT-003 Versões mínimas.</w:t>
      </w:r>
      <w:r>
        <w:t xml:space="preserve"> Cada publicação DEVE distinguir o mínimo para a aplicação, para a execução local e para funcionalidades ou motores específicos. O mínimo do compilador NÃO DEVE ser copiado automaticamente para o produto completo.</w:t>
      </w:r>
      <w:bookmarkEnd w:id="94"/>
    </w:p>
    <w:p>
      <w:bookmarkStart w:id="95" w:name="PLT_004"/>
      <w:pPr>
        <w:pStyle w:val="Requirement"/>
      </w:pPr>
      <w:r>
        <w:rPr>
          <w:b/>
        </w:rPr>
        <w:t>PLT-004 Dependências.</w:t>
      </w:r>
      <w:r>
        <w:t xml:space="preserve"> Ambientes Python e bibliotecas nativas DEVEM ter dependências fixáveis e compatibilidade declarada por sistema, arquitetura e ABI. RECOMENDA-SE isolamento reprodutível por adaptador.</w:t>
      </w:r>
      <w:bookmarkEnd w:id="95"/>
    </w:p>
    <w:p>
      <w:bookmarkStart w:id="96" w:name="PLT_005"/>
      <w:pPr>
        <w:pStyle w:val="Requirement"/>
      </w:pPr>
      <w:r>
        <w:rPr>
          <w:b/>
        </w:rPr>
        <w:t>PLT-005 Linux e subsistemas.</w:t>
      </w:r>
      <w:r>
        <w:t xml:space="preserve"> Distribuições, bibliotecas de sistema e ambientes como WSL DEVEM ter perfis próprios quando afetem execução ou aceleração. Imagens de contentor NÃO DEVEM substituir a verificação do controlador e dos recursos do anfitrião.</w:t>
      </w:r>
      <w:bookmarkEnd w:id="96"/>
    </w:p>
    <w:p>
      <w:bookmarkStart w:id="97" w:name="PLT_006"/>
      <w:pPr>
        <w:pStyle w:val="Requirement"/>
      </w:pPr>
      <w:r>
        <w:rPr>
          <w:b/>
        </w:rPr>
        <w:t>PLT-006 Cliente e executor.</w:t>
      </w:r>
      <w:r>
        <w:t xml:space="preserve"> Suporte de interface, controlo remoto, CPU local, aceleração e cálculo distribuído DEVEM ser classificados separadamente. Um dispositivo PODE ser plenamente suportado como cliente sem oferecer execução local geral.</w:t>
      </w:r>
      <w:bookmarkEnd w:id="97"/>
    </w:p>
    <w:p>
      <w:bookmarkStart w:id="98" w:name="PLT_007"/>
      <w:pPr>
        <w:pStyle w:val="Requirement"/>
      </w:pPr>
      <w:r>
        <w:rPr>
          <w:b/>
        </w:rPr>
        <w:t>PLT-007 Dispositivos móveis.</w:t>
      </w:r>
      <w:r>
        <w:t xml:space="preserve"> iOS, iPadOS e Android DEVEM ter perfis de ciclo de vida e disponibilidade específicos. Um cliente instalado NÃO DEVE ser anunciado como executor permanente sem mecanismos e condições que o sustentem.</w:t>
      </w:r>
      <w:bookmarkEnd w:id="98"/>
    </w:p>
    <w:p>
      <w:bookmarkStart w:id="99" w:name="PLT_008"/>
      <w:pPr>
        <w:pStyle w:val="Requirement"/>
      </w:pPr>
      <w:r>
        <w:rPr>
          <w:b/>
        </w:rPr>
        <w:t>PLT-008 Validação física.</w:t>
      </w:r>
      <w:r>
        <w:t xml:space="preserve"> Compilação cruzada e testes em emulação PODEM verificar partes do núcleo. Suporte de aceleração, consumo e desempenho DEVE ser validado em hardware real representativo.</w:t>
      </w:r>
      <w:bookmarkEnd w:id="99"/>
    </w:p>
    <w:p>
      <w:bookmarkStart w:id="100" w:name="PLT_009"/>
      <w:pPr>
        <w:pStyle w:val="Requirement"/>
      </w:pPr>
      <w:r>
        <w:rPr>
          <w:b/>
        </w:rPr>
        <w:t>PLT-009 Extensão de plataformas.</w:t>
      </w:r>
      <w:r>
        <w:t xml:space="preserve"> Novos destinos DEVEM poder ser acrescentados através de implementações das interfaces de plataforma e dos adaptadores aplicáveis. A gramática central NÃO DEVE criar um dialeto incompatível por fabricante.</w:t>
      </w:r>
      <w:bookmarkEnd w:id="100"/>
    </w:p>
    <w:p>
      <w:pPr>
        <w:pStyle w:val="Heading2"/>
      </w:pPr>
      <w:r>
        <w:t>Matriz de planeamento</w:t>
      </w:r>
    </w:p>
    <w:p>
      <w:r>
        <w:t>A classificação seguinte orienta o desenvolvimento. Nenhuma linha constitui uma declaração de suporte implementado.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2477"/>
        <w:gridCol w:w="3283"/>
        <w:gridCol w:w="4118"/>
      </w:tblGrid>
      <w:tr>
        <w:trPr>
          <w:cantSplit/>
          <w:tblHeader w:val="true"/>
        </w:trPr>
        <w:tc>
          <w:tcPr>
            <w:tcW w:type="dxa" w:w="2477"/>
            <w:vAlign w:val="center"/>
            <w:shd w:fill="26313D" w:val="clear"/>
          </w:tcPr>
          <w:p>
            <w:pPr>
              <w:pStyle w:val="Tabletext"/>
            </w:pPr>
            <w:r>
              <w:rPr>
                <w:b/>
                <w:color w:val="FFFFFF"/>
              </w:rPr>
              <w:t>Destino</w:t>
            </w:r>
          </w:p>
        </w:tc>
        <w:tc>
          <w:tcPr>
            <w:tcW w:type="dxa" w:w="3283"/>
            <w:vAlign w:val="center"/>
            <w:shd w:fill="26313D" w:val="clear"/>
          </w:tcPr>
          <w:p>
            <w:pPr>
              <w:pStyle w:val="Tabletext"/>
            </w:pPr>
            <w:r>
              <w:rPr>
                <w:b/>
                <w:color w:val="FFFFFF"/>
              </w:rPr>
              <w:t>Papel previsto</w:t>
            </w:r>
          </w:p>
        </w:tc>
        <w:tc>
          <w:tcPr>
            <w:tcW w:type="dxa" w:w="4118"/>
            <w:vAlign w:val="center"/>
            <w:shd w:fill="26313D" w:val="clear"/>
          </w:tcPr>
          <w:p>
            <w:pPr>
              <w:pStyle w:val="Tabletext"/>
            </w:pPr>
            <w:r>
              <w:rPr>
                <w:b/>
                <w:color w:val="FFFFFF"/>
              </w:rPr>
              <w:t>Critério de entrada</w:t>
            </w:r>
          </w:p>
        </w:tc>
      </w:tr>
      <w:tr>
        <w:trPr>
          <w:cantSplit/>
        </w:trPr>
        <w:tc>
          <w:tcPr>
            <w:tcW w:type="dxa" w:w="2477"/>
            <w:vAlign w:val="center"/>
            <w:shd w:fill="FFFFFF" w:val="clear"/>
          </w:tcPr>
          <w:p>
            <w:pPr>
              <w:pStyle w:val="Tabletext"/>
            </w:pPr>
            <w:r>
              <w:t>macOS ARM64</w:t>
            </w:r>
          </w:p>
        </w:tc>
        <w:tc>
          <w:tcPr>
            <w:tcW w:type="dxa" w:w="3283"/>
            <w:vAlign w:val="center"/>
            <w:shd w:fill="FFFFFF" w:val="clear"/>
          </w:tcPr>
          <w:p>
            <w:pPr>
              <w:pStyle w:val="Tabletext"/>
            </w:pPr>
            <w:r>
              <w:t>Aplicação e executor Apple</w:t>
            </w:r>
          </w:p>
        </w:tc>
        <w:tc>
          <w:tcPr>
            <w:tcW w:type="dxa" w:w="4118"/>
            <w:vAlign w:val="center"/>
            <w:shd w:fill="FFFFFF" w:val="clear"/>
          </w:tcPr>
          <w:p>
            <w:pPr>
              <w:pStyle w:val="Tabletext"/>
            </w:pPr>
            <w:r>
              <w:t>Caminho completo num equipamento de referência</w:t>
            </w:r>
          </w:p>
        </w:tc>
      </w:tr>
      <w:tr>
        <w:trPr>
          <w:cantSplit/>
        </w:trPr>
        <w:tc>
          <w:tcPr>
            <w:tcW w:type="dxa" w:w="2477"/>
            <w:vAlign w:val="center"/>
            <w:shd w:fill="F2F5F7" w:val="clear"/>
          </w:tcPr>
          <w:p>
            <w:pPr>
              <w:pStyle w:val="Tabletext"/>
            </w:pPr>
            <w:r>
              <w:t>Linux x86_64</w:t>
            </w:r>
          </w:p>
        </w:tc>
        <w:tc>
          <w:tcPr>
            <w:tcW w:type="dxa" w:w="3283"/>
            <w:vAlign w:val="center"/>
            <w:shd w:fill="F2F5F7" w:val="clear"/>
          </w:tcPr>
          <w:p>
            <w:pPr>
              <w:pStyle w:val="Tabletext"/>
            </w:pPr>
            <w:r>
              <w:t>Servidor e cluster</w:t>
            </w:r>
          </w:p>
        </w:tc>
        <w:tc>
          <w:tcPr>
            <w:tcW w:type="dxa" w:w="4118"/>
            <w:vAlign w:val="center"/>
            <w:shd w:fill="F2F5F7" w:val="clear"/>
          </w:tcPr>
          <w:p>
            <w:pPr>
              <w:pStyle w:val="Tabletext"/>
            </w:pPr>
            <w:r>
              <w:t>Distribuição e stack de aceleração selecionadas</w:t>
            </w:r>
          </w:p>
        </w:tc>
      </w:tr>
      <w:tr>
        <w:trPr>
          <w:cantSplit/>
        </w:trPr>
        <w:tc>
          <w:tcPr>
            <w:tcW w:type="dxa" w:w="2477"/>
            <w:vAlign w:val="center"/>
            <w:shd w:fill="FFFFFF" w:val="clear"/>
          </w:tcPr>
          <w:p>
            <w:pPr>
              <w:pStyle w:val="Tabletext"/>
            </w:pPr>
            <w:r>
              <w:t>Windows x64</w:t>
            </w:r>
          </w:p>
        </w:tc>
        <w:tc>
          <w:tcPr>
            <w:tcW w:type="dxa" w:w="3283"/>
            <w:vAlign w:val="center"/>
            <w:shd w:fill="FFFFFF" w:val="clear"/>
          </w:tcPr>
          <w:p>
            <w:pPr>
              <w:pStyle w:val="Tabletext"/>
            </w:pPr>
            <w:r>
              <w:t>Aplicação e executor</w:t>
            </w:r>
          </w:p>
        </w:tc>
        <w:tc>
          <w:tcPr>
            <w:tcW w:type="dxa" w:w="4118"/>
            <w:vAlign w:val="center"/>
            <w:shd w:fill="FFFFFF" w:val="clear"/>
          </w:tcPr>
          <w:p>
            <w:pPr>
              <w:pStyle w:val="Tabletext"/>
            </w:pPr>
            <w:r>
              <w:t>Dependências e serviços nativos verificados</w:t>
            </w:r>
          </w:p>
        </w:tc>
      </w:tr>
      <w:tr>
        <w:trPr>
          <w:cantSplit/>
        </w:trPr>
        <w:tc>
          <w:tcPr>
            <w:tcW w:type="dxa" w:w="2477"/>
            <w:vAlign w:val="center"/>
            <w:shd w:fill="F2F5F7" w:val="clear"/>
          </w:tcPr>
          <w:p>
            <w:pPr>
              <w:pStyle w:val="Tabletext"/>
            </w:pPr>
            <w:r>
              <w:t>Linux ARM64</w:t>
            </w:r>
          </w:p>
        </w:tc>
        <w:tc>
          <w:tcPr>
            <w:tcW w:type="dxa" w:w="3283"/>
            <w:vAlign w:val="center"/>
            <w:shd w:fill="F2F5F7" w:val="clear"/>
          </w:tcPr>
          <w:p>
            <w:pPr>
              <w:pStyle w:val="Tabletext"/>
            </w:pPr>
            <w:r>
              <w:t>Servidor ou dispositivo especializado</w:t>
            </w:r>
          </w:p>
        </w:tc>
        <w:tc>
          <w:tcPr>
            <w:tcW w:type="dxa" w:w="4118"/>
            <w:vAlign w:val="center"/>
            <w:shd w:fill="F2F5F7" w:val="clear"/>
          </w:tcPr>
          <w:p>
            <w:pPr>
              <w:pStyle w:val="Tabletext"/>
            </w:pPr>
            <w:r>
              <w:t>Perfil próprio de dependências e aceleradores</w:t>
            </w:r>
          </w:p>
        </w:tc>
      </w:tr>
      <w:tr>
        <w:trPr>
          <w:cantSplit/>
        </w:trPr>
        <w:tc>
          <w:tcPr>
            <w:tcW w:type="dxa" w:w="2477"/>
            <w:vAlign w:val="center"/>
            <w:shd w:fill="FFFFFF" w:val="clear"/>
          </w:tcPr>
          <w:p>
            <w:pPr>
              <w:pStyle w:val="Tabletext"/>
            </w:pPr>
            <w:r>
              <w:t>Windows ARM64</w:t>
            </w:r>
          </w:p>
        </w:tc>
        <w:tc>
          <w:tcPr>
            <w:tcW w:type="dxa" w:w="3283"/>
            <w:vAlign w:val="center"/>
            <w:shd w:fill="FFFFFF" w:val="clear"/>
          </w:tcPr>
          <w:p>
            <w:pPr>
              <w:pStyle w:val="Tabletext"/>
            </w:pPr>
            <w:r>
              <w:t>Aplicação e executor nativos</w:t>
            </w:r>
          </w:p>
        </w:tc>
        <w:tc>
          <w:tcPr>
            <w:tcW w:type="dxa" w:w="4118"/>
            <w:vAlign w:val="center"/>
            <w:shd w:fill="FFFFFF" w:val="clear"/>
          </w:tcPr>
          <w:p>
            <w:pPr>
              <w:pStyle w:val="Tabletext"/>
            </w:pPr>
            <w:r>
              <w:t>Bibliotecas e controladores compatíveis</w:t>
            </w:r>
          </w:p>
        </w:tc>
      </w:tr>
      <w:tr>
        <w:trPr>
          <w:cantSplit/>
        </w:trPr>
        <w:tc>
          <w:tcPr>
            <w:tcW w:type="dxa" w:w="2477"/>
            <w:vAlign w:val="center"/>
            <w:shd w:fill="F2F5F7" w:val="clear"/>
          </w:tcPr>
          <w:p>
            <w:pPr>
              <w:pStyle w:val="Tabletext"/>
            </w:pPr>
            <w:r>
              <w:t>iOS e iPadOS ARM64</w:t>
            </w:r>
          </w:p>
        </w:tc>
        <w:tc>
          <w:tcPr>
            <w:tcW w:type="dxa" w:w="3283"/>
            <w:vAlign w:val="center"/>
            <w:shd w:fill="F2F5F7" w:val="clear"/>
          </w:tcPr>
          <w:p>
            <w:pPr>
              <w:pStyle w:val="Tabletext"/>
            </w:pPr>
            <w:r>
              <w:t>Controlo e tarefas locais</w:t>
            </w:r>
          </w:p>
        </w:tc>
        <w:tc>
          <w:tcPr>
            <w:tcW w:type="dxa" w:w="4118"/>
            <w:vAlign w:val="center"/>
            <w:shd w:fill="F2F5F7" w:val="clear"/>
          </w:tcPr>
          <w:p>
            <w:pPr>
              <w:pStyle w:val="Tabletext"/>
            </w:pPr>
            <w:r>
              <w:t>Regras de disponibilidade do sistema satisfeitas</w:t>
            </w:r>
          </w:p>
        </w:tc>
      </w:tr>
      <w:tr>
        <w:trPr>
          <w:cantSplit/>
        </w:trPr>
        <w:tc>
          <w:tcPr>
            <w:tcW w:type="dxa" w:w="2477"/>
            <w:vAlign w:val="center"/>
            <w:shd w:fill="FFFFFF" w:val="clear"/>
          </w:tcPr>
          <w:p>
            <w:pPr>
              <w:pStyle w:val="Tabletext"/>
            </w:pPr>
            <w:r>
              <w:t>Android ARM64</w:t>
            </w:r>
          </w:p>
        </w:tc>
        <w:tc>
          <w:tcPr>
            <w:tcW w:type="dxa" w:w="3283"/>
            <w:vAlign w:val="center"/>
            <w:shd w:fill="FFFFFF" w:val="clear"/>
          </w:tcPr>
          <w:p>
            <w:pPr>
              <w:pStyle w:val="Tabletext"/>
            </w:pPr>
            <w:r>
              <w:t>Controlo e tarefas locais</w:t>
            </w:r>
          </w:p>
        </w:tc>
        <w:tc>
          <w:tcPr>
            <w:tcW w:type="dxa" w:w="4118"/>
            <w:vAlign w:val="center"/>
            <w:shd w:fill="FFFFFF" w:val="clear"/>
          </w:tcPr>
          <w:p>
            <w:pPr>
              <w:pStyle w:val="Tabletext"/>
            </w:pPr>
            <w:r>
              <w:t>Perfil de energia e tarefas em segundo plano</w:t>
            </w:r>
          </w:p>
        </w:tc>
      </w:tr>
      <w:tr>
        <w:trPr>
          <w:cantSplit/>
        </w:trPr>
        <w:tc>
          <w:tcPr>
            <w:tcW w:type="dxa" w:w="2477"/>
            <w:vAlign w:val="center"/>
            <w:shd w:fill="F2F5F7" w:val="clear"/>
          </w:tcPr>
          <w:p>
            <w:pPr>
              <w:pStyle w:val="Tabletext"/>
            </w:pPr>
            <w:r>
              <w:t>Navegador</w:t>
            </w:r>
          </w:p>
        </w:tc>
        <w:tc>
          <w:tcPr>
            <w:tcW w:type="dxa" w:w="3283"/>
            <w:vAlign w:val="center"/>
            <w:shd w:fill="F2F5F7" w:val="clear"/>
          </w:tcPr>
          <w:p>
            <w:pPr>
              <w:pStyle w:val="Tabletext"/>
            </w:pPr>
            <w:r>
              <w:t>Cliente de controlo amplo</w:t>
            </w:r>
          </w:p>
        </w:tc>
        <w:tc>
          <w:tcPr>
            <w:tcW w:type="dxa" w:w="4118"/>
            <w:vAlign w:val="center"/>
            <w:shd w:fill="F2F5F7" w:val="clear"/>
          </w:tcPr>
          <w:p>
            <w:pPr>
              <w:pStyle w:val="Tabletext"/>
            </w:pPr>
            <w:r>
              <w:t>Protocolo e funcionalidades do navegador</w:t>
            </w:r>
          </w:p>
        </w:tc>
      </w:tr>
      <w:tr>
        <w:trPr>
          <w:cantSplit/>
        </w:trPr>
        <w:tc>
          <w:tcPr>
            <w:tcW w:type="dxa" w:w="2477"/>
            <w:vAlign w:val="center"/>
            <w:shd w:fill="FFFFFF" w:val="clear"/>
          </w:tcPr>
          <w:p>
            <w:pPr>
              <w:pStyle w:val="Tabletext"/>
            </w:pPr>
            <w:r>
              <w:t>macOS Intel e outros legados</w:t>
            </w:r>
          </w:p>
        </w:tc>
        <w:tc>
          <w:tcPr>
            <w:tcW w:type="dxa" w:w="3283"/>
            <w:vAlign w:val="center"/>
            <w:shd w:fill="FFFFFF" w:val="clear"/>
          </w:tcPr>
          <w:p>
            <w:pPr>
              <w:pStyle w:val="Tabletext"/>
            </w:pPr>
            <w:r>
              <w:t>Compatibilidade por necessidade</w:t>
            </w:r>
          </w:p>
        </w:tc>
        <w:tc>
          <w:tcPr>
            <w:tcW w:type="dxa" w:w="4118"/>
            <w:vAlign w:val="center"/>
            <w:shd w:fill="FFFFFF" w:val="clear"/>
          </w:tcPr>
          <w:p>
            <w:pPr>
              <w:pStyle w:val="Tabletext"/>
            </w:pPr>
            <w:r>
              <w:t>Versões e motores ainda utilizáveis</w:t>
            </w:r>
          </w:p>
        </w:tc>
      </w:tr>
      <w:tr>
        <w:trPr>
          <w:cantSplit/>
        </w:trPr>
        <w:tc>
          <w:tcPr>
            <w:tcW w:type="dxa" w:w="2477"/>
            <w:vAlign w:val="center"/>
            <w:shd w:fill="F2F5F7" w:val="clear"/>
          </w:tcPr>
          <w:p>
            <w:pPr>
              <w:pStyle w:val="Tabletext"/>
            </w:pPr>
            <w:r>
              <w:t>BSD RISC V e sistemas especializados</w:t>
            </w:r>
          </w:p>
        </w:tc>
        <w:tc>
          <w:tcPr>
            <w:tcW w:type="dxa" w:w="3283"/>
            <w:vAlign w:val="center"/>
            <w:shd w:fill="F2F5F7" w:val="clear"/>
          </w:tcPr>
          <w:p>
            <w:pPr>
              <w:pStyle w:val="Tabletext"/>
            </w:pPr>
            <w:r>
              <w:t>Extensão ou investigação</w:t>
            </w:r>
          </w:p>
        </w:tc>
        <w:tc>
          <w:tcPr>
            <w:tcW w:type="dxa" w:w="4118"/>
            <w:vAlign w:val="center"/>
            <w:shd w:fill="F2F5F7" w:val="clear"/>
          </w:tcPr>
          <w:p>
            <w:pPr>
              <w:pStyle w:val="Tabletext"/>
            </w:pPr>
            <w:r>
              <w:t>Adaptador e validação próprios</w:t>
            </w:r>
          </w:p>
        </w:tc>
      </w:tr>
      <w:tr>
        <w:trPr>
          <w:cantSplit/>
        </w:trPr>
        <w:tc>
          <w:tcPr>
            <w:tcW w:type="dxa" w:w="2477"/>
            <w:vAlign w:val="center"/>
            <w:shd w:fill="FFFFFF" w:val="clear"/>
          </w:tcPr>
          <w:p>
            <w:pPr>
              <w:pStyle w:val="Tabletext"/>
            </w:pPr>
            <w:r>
              <w:t>x86 de 32 bits e ARM32</w:t>
            </w:r>
          </w:p>
        </w:tc>
        <w:tc>
          <w:tcPr>
            <w:tcW w:type="dxa" w:w="3283"/>
            <w:vAlign w:val="center"/>
            <w:shd w:fill="FFFFFF" w:val="clear"/>
          </w:tcPr>
          <w:p>
            <w:pPr>
              <w:pStyle w:val="Tabletext"/>
            </w:pPr>
            <w:r>
              <w:t>Cliente leve quando necessário</w:t>
            </w:r>
          </w:p>
        </w:tc>
        <w:tc>
          <w:tcPr>
            <w:tcW w:type="dxa" w:w="4118"/>
            <w:vAlign w:val="center"/>
            <w:shd w:fill="FFFFFF" w:val="clear"/>
          </w:tcPr>
          <w:p>
            <w:pPr>
              <w:pStyle w:val="Tabletext"/>
            </w:pPr>
            <w:r>
              <w:t>Benefício concreto e dependências disponíveis</w:t>
            </w:r>
          </w:p>
        </w:tc>
      </w:tr>
    </w:tbl>
    <w:p>
      <w:pPr>
        <w:spacing w:after="20" w:before="0" w:line="60" w:lineRule="exact"/>
      </w:pPr>
      <w:r>
        <w:rPr>
          <w:sz w:val="6"/>
        </w:rPr>
      </w:r>
    </w:p>
    <w:p>
      <w:r>
        <w:t xml:space="preserve">Windows em ARM distingue emulação de aplicações e controladores nativos. iOS e iPadOS oferecem mecanismos condicionados de continuação de trabalho e, em dispositivos suportados, GPU em segundo plano; Android tem mecanismos próprios de tarefas e serviços. Estas diferenças devem integrar a capacidade anunciada. </w:t>
      </w:r>
      <w:hyperlink w:anchor="F06">
        <w:r>
          <w:rPr>
            <w:rFonts w:ascii="Nimbus Sans" w:hAnsi="Nimbus Sans"/>
            <w:color w:val="000000"/>
          </w:rPr>
          <w:t xml:space="preserve">[F06]</w:t>
        </w:r>
      </w:hyperlink>
      <w:r>
        <w:t xml:space="preserve"> </w:t>
      </w:r>
      <w:hyperlink w:anchor="F07">
        <w:r>
          <w:rPr>
            <w:rFonts w:ascii="Nimbus Sans" w:hAnsi="Nimbus Sans"/>
            <w:color w:val="000000"/>
          </w:rPr>
          <w:t xml:space="preserve">[F07]</w:t>
        </w:r>
      </w:hyperlink>
      <w:r>
        <w:t xml:space="preserve"> </w:t>
      </w:r>
      <w:hyperlink w:anchor="F08">
        <w:r>
          <w:rPr>
            <w:rFonts w:ascii="Nimbus Sans" w:hAnsi="Nimbus Sans"/>
            <w:color w:val="000000"/>
          </w:rPr>
          <w:t xml:space="preserve">[F08]</w:t>
        </w:r>
      </w:hyperlink>
    </w:p>
    <w:p>
      <w:bookmarkStart w:id="101" w:name="chapter_12"/>
      <w:pPr>
        <w:pStyle w:val="Heading1"/>
      </w:pPr>
      <w:r>
        <w:t>12 Aceleradores gestores e fornecedores remotos</w:t>
      </w:r>
      <w:bookmarkEnd w:id="101"/>
    </w:p>
    <w:p>
      <w:r>
        <w:t>Uma integração deve representar as capacidades que consegue demonstrar. O fabricante não define, por si, o conjunto de modelos ou operações suportados.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2477"/>
        <w:gridCol w:w="3283"/>
        <w:gridCol w:w="4118"/>
      </w:tblGrid>
      <w:tr>
        <w:trPr>
          <w:cantSplit/>
          <w:tblHeader w:val="true"/>
        </w:trPr>
        <w:tc>
          <w:tcPr>
            <w:tcW w:type="dxa" w:w="2477"/>
            <w:vAlign w:val="center"/>
            <w:shd w:fill="26313D" w:val="clear"/>
          </w:tcPr>
          <w:p>
            <w:pPr>
              <w:pStyle w:val="Tabletext"/>
            </w:pPr>
            <w:r>
              <w:rPr>
                <w:b/>
                <w:color w:val="FFFFFF"/>
              </w:rPr>
              <w:t>Família</w:t>
            </w:r>
          </w:p>
        </w:tc>
        <w:tc>
          <w:tcPr>
            <w:tcW w:type="dxa" w:w="3283"/>
            <w:vAlign w:val="center"/>
            <w:shd w:fill="26313D" w:val="clear"/>
          </w:tcPr>
          <w:p>
            <w:pPr>
              <w:pStyle w:val="Tabletext"/>
            </w:pPr>
            <w:r>
              <w:rPr>
                <w:b/>
                <w:color w:val="FFFFFF"/>
              </w:rPr>
              <w:t>Caminho técnico a avaliar</w:t>
            </w:r>
          </w:p>
        </w:tc>
        <w:tc>
          <w:tcPr>
            <w:tcW w:type="dxa" w:w="4118"/>
            <w:vAlign w:val="center"/>
            <w:shd w:fill="26313D" w:val="clear"/>
          </w:tcPr>
          <w:p>
            <w:pPr>
              <w:pStyle w:val="Tabletext"/>
            </w:pPr>
            <w:r>
              <w:rPr>
                <w:b/>
                <w:color w:val="FFFFFF"/>
              </w:rPr>
              <w:t>Condição principal</w:t>
            </w:r>
          </w:p>
        </w:tc>
      </w:tr>
      <w:tr>
        <w:trPr>
          <w:cantSplit/>
        </w:trPr>
        <w:tc>
          <w:tcPr>
            <w:tcW w:type="dxa" w:w="2477"/>
            <w:vAlign w:val="center"/>
            <w:shd w:fill="FFFFFF" w:val="clear"/>
          </w:tcPr>
          <w:p>
            <w:pPr>
              <w:pStyle w:val="Tabletext"/>
            </w:pPr>
            <w:r>
              <w:t>Apple silicon</w:t>
            </w:r>
          </w:p>
        </w:tc>
        <w:tc>
          <w:tcPr>
            <w:tcW w:type="dxa" w:w="3283"/>
            <w:vAlign w:val="center"/>
            <w:shd w:fill="FFFFFF" w:val="clear"/>
          </w:tcPr>
          <w:p>
            <w:pPr>
              <w:pStyle w:val="Tabletext"/>
            </w:pPr>
            <w:r>
              <w:t>MLX Metal e Core ML</w:t>
            </w:r>
          </w:p>
        </w:tc>
        <w:tc>
          <w:tcPr>
            <w:tcW w:type="dxa" w:w="4118"/>
            <w:vAlign w:val="center"/>
            <w:shd w:fill="FFFFFF" w:val="clear"/>
          </w:tcPr>
          <w:p>
            <w:pPr>
              <w:pStyle w:val="Tabletext"/>
            </w:pPr>
            <w:r>
              <w:t>Motor modelo e unidades de cálculo realmente suportados</w:t>
            </w:r>
          </w:p>
        </w:tc>
      </w:tr>
      <w:tr>
        <w:trPr>
          <w:cantSplit/>
        </w:trPr>
        <w:tc>
          <w:tcPr>
            <w:tcW w:type="dxa" w:w="2477"/>
            <w:vAlign w:val="center"/>
            <w:shd w:fill="F2F5F7" w:val="clear"/>
          </w:tcPr>
          <w:p>
            <w:pPr>
              <w:pStyle w:val="Tabletext"/>
            </w:pPr>
            <w:r>
              <w:t>NVIDIA</w:t>
            </w:r>
          </w:p>
        </w:tc>
        <w:tc>
          <w:tcPr>
            <w:tcW w:type="dxa" w:w="3283"/>
            <w:vAlign w:val="center"/>
            <w:shd w:fill="F2F5F7" w:val="clear"/>
          </w:tcPr>
          <w:p>
            <w:pPr>
              <w:pStyle w:val="Tabletext"/>
            </w:pPr>
            <w:r>
              <w:t>CUDA motores compatíveis e NCCL</w:t>
            </w:r>
          </w:p>
        </w:tc>
        <w:tc>
          <w:tcPr>
            <w:tcW w:type="dxa" w:w="4118"/>
            <w:vAlign w:val="center"/>
            <w:shd w:fill="F2F5F7" w:val="clear"/>
          </w:tcPr>
          <w:p>
            <w:pPr>
              <w:pStyle w:val="Tabletext"/>
            </w:pPr>
            <w:r>
              <w:t>GPU controlador sistema motor e topologia qualificados</w:t>
            </w:r>
          </w:p>
        </w:tc>
      </w:tr>
      <w:tr>
        <w:trPr>
          <w:cantSplit/>
        </w:trPr>
        <w:tc>
          <w:tcPr>
            <w:tcW w:type="dxa" w:w="2477"/>
            <w:vAlign w:val="center"/>
            <w:shd w:fill="FFFFFF" w:val="clear"/>
          </w:tcPr>
          <w:p>
            <w:pPr>
              <w:pStyle w:val="Tabletext"/>
            </w:pPr>
            <w:r>
              <w:t>AMD</w:t>
            </w:r>
          </w:p>
        </w:tc>
        <w:tc>
          <w:tcPr>
            <w:tcW w:type="dxa" w:w="3283"/>
            <w:vAlign w:val="center"/>
            <w:shd w:fill="FFFFFF" w:val="clear"/>
          </w:tcPr>
          <w:p>
            <w:pPr>
              <w:pStyle w:val="Tabletext"/>
            </w:pPr>
            <w:r>
              <w:t>ROCm motores compatíveis e RCCL</w:t>
            </w:r>
          </w:p>
        </w:tc>
        <w:tc>
          <w:tcPr>
            <w:tcW w:type="dxa" w:w="4118"/>
            <w:vAlign w:val="center"/>
            <w:shd w:fill="FFFFFF" w:val="clear"/>
          </w:tcPr>
          <w:p>
            <w:pPr>
              <w:pStyle w:val="Tabletext"/>
            </w:pPr>
            <w:r>
              <w:t>Família concreta de hardware e matriz de versões</w:t>
            </w:r>
          </w:p>
        </w:tc>
      </w:tr>
      <w:tr>
        <w:trPr>
          <w:cantSplit/>
        </w:trPr>
        <w:tc>
          <w:tcPr>
            <w:tcW w:type="dxa" w:w="2477"/>
            <w:vAlign w:val="center"/>
            <w:shd w:fill="F2F5F7" w:val="clear"/>
          </w:tcPr>
          <w:p>
            <w:pPr>
              <w:pStyle w:val="Tabletext"/>
            </w:pPr>
            <w:r>
              <w:t>Intel CPU GPU e NPU</w:t>
            </w:r>
          </w:p>
        </w:tc>
        <w:tc>
          <w:tcPr>
            <w:tcW w:type="dxa" w:w="3283"/>
            <w:vAlign w:val="center"/>
            <w:shd w:fill="F2F5F7" w:val="clear"/>
          </w:tcPr>
          <w:p>
            <w:pPr>
              <w:pStyle w:val="Tabletext"/>
            </w:pPr>
            <w:r>
              <w:t>OpenVINO e componentes adequados</w:t>
            </w:r>
          </w:p>
        </w:tc>
        <w:tc>
          <w:tcPr>
            <w:tcW w:type="dxa" w:w="4118"/>
            <w:vAlign w:val="center"/>
            <w:shd w:fill="F2F5F7" w:val="clear"/>
          </w:tcPr>
          <w:p>
            <w:pPr>
              <w:pStyle w:val="Tabletext"/>
            </w:pPr>
            <w:r>
              <w:t>Perfis separados para cada classe de dispositivo</w:t>
            </w:r>
          </w:p>
        </w:tc>
      </w:tr>
      <w:tr>
        <w:trPr>
          <w:cantSplit/>
        </w:trPr>
        <w:tc>
          <w:tcPr>
            <w:tcW w:type="dxa" w:w="2477"/>
            <w:vAlign w:val="center"/>
            <w:shd w:fill="FFFFFF" w:val="clear"/>
          </w:tcPr>
          <w:p>
            <w:pPr>
              <w:pStyle w:val="Tabletext"/>
            </w:pPr>
            <w:r>
              <w:t>Intel Gaudi</w:t>
            </w:r>
          </w:p>
        </w:tc>
        <w:tc>
          <w:tcPr>
            <w:tcW w:type="dxa" w:w="3283"/>
            <w:vAlign w:val="center"/>
            <w:shd w:fill="FFFFFF" w:val="clear"/>
          </w:tcPr>
          <w:p>
            <w:pPr>
              <w:pStyle w:val="Tabletext"/>
            </w:pPr>
            <w:r>
              <w:t>Stack Gaudi e HCCL</w:t>
            </w:r>
          </w:p>
        </w:tc>
        <w:tc>
          <w:tcPr>
            <w:tcW w:type="dxa" w:w="4118"/>
            <w:vAlign w:val="center"/>
            <w:shd w:fill="FFFFFF" w:val="clear"/>
          </w:tcPr>
          <w:p>
            <w:pPr>
              <w:pStyle w:val="Tabletext"/>
            </w:pPr>
            <w:r>
              <w:t>Contrato próprio de software e comunicação</w:t>
            </w:r>
          </w:p>
        </w:tc>
      </w:tr>
      <w:tr>
        <w:trPr>
          <w:cantSplit/>
        </w:trPr>
        <w:tc>
          <w:tcPr>
            <w:tcW w:type="dxa" w:w="2477"/>
            <w:vAlign w:val="center"/>
            <w:shd w:fill="F2F5F7" w:val="clear"/>
          </w:tcPr>
          <w:p>
            <w:pPr>
              <w:pStyle w:val="Tabletext"/>
            </w:pPr>
            <w:r>
              <w:t>Qualcomm</w:t>
            </w:r>
          </w:p>
        </w:tc>
        <w:tc>
          <w:tcPr>
            <w:tcW w:type="dxa" w:w="3283"/>
            <w:vAlign w:val="center"/>
            <w:shd w:fill="F2F5F7" w:val="clear"/>
          </w:tcPr>
          <w:p>
            <w:pPr>
              <w:pStyle w:val="Tabletext"/>
            </w:pPr>
            <w:r>
              <w:t>QNN e motores compatíveis</w:t>
            </w:r>
          </w:p>
        </w:tc>
        <w:tc>
          <w:tcPr>
            <w:tcW w:type="dxa" w:w="4118"/>
            <w:vAlign w:val="center"/>
            <w:shd w:fill="F2F5F7" w:val="clear"/>
          </w:tcPr>
          <w:p>
            <w:pPr>
              <w:pStyle w:val="Tabletext"/>
            </w:pPr>
            <w:r>
              <w:t>SoC sistema operações e representação do modelo</w:t>
            </w:r>
          </w:p>
        </w:tc>
      </w:tr>
      <w:tr>
        <w:trPr>
          <w:cantSplit/>
        </w:trPr>
        <w:tc>
          <w:tcPr>
            <w:tcW w:type="dxa" w:w="2477"/>
            <w:vAlign w:val="center"/>
            <w:shd w:fill="FFFFFF" w:val="clear"/>
          </w:tcPr>
          <w:p>
            <w:pPr>
              <w:pStyle w:val="Tabletext"/>
            </w:pPr>
            <w:r>
              <w:t>Google Cloud TPU</w:t>
            </w:r>
          </w:p>
        </w:tc>
        <w:tc>
          <w:tcPr>
            <w:tcW w:type="dxa" w:w="3283"/>
            <w:vAlign w:val="center"/>
            <w:shd w:fill="FFFFFF" w:val="clear"/>
          </w:tcPr>
          <w:p>
            <w:pPr>
              <w:pStyle w:val="Tabletext"/>
            </w:pPr>
            <w:r>
              <w:t>Motores compatíveis como JAX</w:t>
            </w:r>
          </w:p>
        </w:tc>
        <w:tc>
          <w:tcPr>
            <w:tcW w:type="dxa" w:w="4118"/>
            <w:vAlign w:val="center"/>
            <w:shd w:fill="FFFFFF" w:val="clear"/>
          </w:tcPr>
          <w:p>
            <w:pPr>
              <w:pStyle w:val="Tabletext"/>
            </w:pPr>
            <w:r>
              <w:t>Ambiente TPU e bibliotecas correspondentes</w:t>
            </w:r>
          </w:p>
        </w:tc>
      </w:tr>
      <w:tr>
        <w:trPr>
          <w:cantSplit/>
        </w:trPr>
        <w:tc>
          <w:tcPr>
            <w:tcW w:type="dxa" w:w="2477"/>
            <w:vAlign w:val="center"/>
            <w:shd w:fill="F2F5F7" w:val="clear"/>
          </w:tcPr>
          <w:p>
            <w:pPr>
              <w:pStyle w:val="Tabletext"/>
            </w:pPr>
            <w:r>
              <w:t>AWS Trainium e Inferentia</w:t>
            </w:r>
          </w:p>
        </w:tc>
        <w:tc>
          <w:tcPr>
            <w:tcW w:type="dxa" w:w="3283"/>
            <w:vAlign w:val="center"/>
            <w:shd w:fill="F2F5F7" w:val="clear"/>
          </w:tcPr>
          <w:p>
            <w:pPr>
              <w:pStyle w:val="Tabletext"/>
            </w:pPr>
            <w:r>
              <w:t>Neuron</w:t>
            </w:r>
          </w:p>
        </w:tc>
        <w:tc>
          <w:tcPr>
            <w:tcW w:type="dxa" w:w="4118"/>
            <w:vAlign w:val="center"/>
            <w:shd w:fill="F2F5F7" w:val="clear"/>
          </w:tcPr>
          <w:p>
            <w:pPr>
              <w:pStyle w:val="Tabletext"/>
            </w:pPr>
            <w:r>
              <w:t>Geração motor e versões suportadas</w:t>
            </w:r>
          </w:p>
        </w:tc>
      </w:tr>
      <w:tr>
        <w:trPr>
          <w:cantSplit/>
        </w:trPr>
        <w:tc>
          <w:tcPr>
            <w:tcW w:type="dxa" w:w="2477"/>
            <w:vAlign w:val="center"/>
            <w:shd w:fill="FFFFFF" w:val="clear"/>
          </w:tcPr>
          <w:p>
            <w:pPr>
              <w:pStyle w:val="Tabletext"/>
            </w:pPr>
            <w:r>
              <w:t>CPU geral</w:t>
            </w:r>
          </w:p>
        </w:tc>
        <w:tc>
          <w:tcPr>
            <w:tcW w:type="dxa" w:w="3283"/>
            <w:vAlign w:val="center"/>
            <w:shd w:fill="FFFFFF" w:val="clear"/>
          </w:tcPr>
          <w:p>
            <w:pPr>
              <w:pStyle w:val="Tabletext"/>
            </w:pPr>
            <w:r>
              <w:t>Motor CPU apropriado</w:t>
            </w:r>
          </w:p>
        </w:tc>
        <w:tc>
          <w:tcPr>
            <w:tcW w:type="dxa" w:w="4118"/>
            <w:vAlign w:val="center"/>
            <w:shd w:fill="FFFFFF" w:val="clear"/>
          </w:tcPr>
          <w:p>
            <w:pPr>
              <w:pStyle w:val="Tabletext"/>
            </w:pPr>
            <w:r>
              <w:t>Instruções memória e desempenho medidos</w:t>
            </w:r>
          </w:p>
        </w:tc>
      </w:tr>
      <w:tr>
        <w:trPr>
          <w:cantSplit/>
        </w:trPr>
        <w:tc>
          <w:tcPr>
            <w:tcW w:type="dxa" w:w="2477"/>
            <w:vAlign w:val="center"/>
            <w:shd w:fill="F2F5F7" w:val="clear"/>
          </w:tcPr>
          <w:p>
            <w:pPr>
              <w:pStyle w:val="Tabletext"/>
            </w:pPr>
            <w:r>
              <w:t>Outros fornecedores</w:t>
            </w:r>
          </w:p>
        </w:tc>
        <w:tc>
          <w:tcPr>
            <w:tcW w:type="dxa" w:w="3283"/>
            <w:vAlign w:val="center"/>
            <w:shd w:fill="F2F5F7" w:val="clear"/>
          </w:tcPr>
          <w:p>
            <w:pPr>
              <w:pStyle w:val="Tabletext"/>
            </w:pPr>
            <w:r>
              <w:t>SDK motor ou API</w:t>
            </w:r>
          </w:p>
        </w:tc>
        <w:tc>
          <w:tcPr>
            <w:tcW w:type="dxa" w:w="4118"/>
            <w:vAlign w:val="center"/>
            <w:shd w:fill="F2F5F7" w:val="clear"/>
          </w:tcPr>
          <w:p>
            <w:pPr>
              <w:pStyle w:val="Tabletext"/>
            </w:pPr>
            <w:r>
              <w:t>Adaptador e evidência de conformidade</w:t>
            </w:r>
          </w:p>
        </w:tc>
      </w:tr>
    </w:tbl>
    <w:p>
      <w:pPr>
        <w:spacing w:after="20" w:before="0" w:line="60" w:lineRule="exact"/>
      </w:pPr>
      <w:r>
        <w:rPr>
          <w:sz w:val="6"/>
        </w:rPr>
      </w:r>
    </w:p>
    <w:p>
      <w:r>
        <w:t xml:space="preserve">A matriz é um catálogo de possibilidades de integração. As fontes oficiais descrevem caminhos distintos e combinações qualificadas. MLX identifica CPU e GPU; Core ML pode selecionar unidades Apple conforme o modelo. ROCm e Gaudi mantêm matrizes próprias. QNN, TPU e Neuron exigem integrações específicas. </w:t>
      </w:r>
      <w:hyperlink w:anchor="F09">
        <w:r>
          <w:rPr>
            <w:rFonts w:ascii="Nimbus Sans" w:hAnsi="Nimbus Sans"/>
            <w:color w:val="000000"/>
          </w:rPr>
          <w:t xml:space="preserve">[F09]</w:t>
        </w:r>
      </w:hyperlink>
      <w:r>
        <w:t xml:space="preserve"> </w:t>
      </w:r>
      <w:hyperlink w:anchor="F10">
        <w:r>
          <w:rPr>
            <w:rFonts w:ascii="Nimbus Sans" w:hAnsi="Nimbus Sans"/>
            <w:color w:val="000000"/>
          </w:rPr>
          <w:t xml:space="preserve">[F10]</w:t>
        </w:r>
      </w:hyperlink>
      <w:r>
        <w:t xml:space="preserve"> </w:t>
      </w:r>
      <w:hyperlink w:anchor="F11">
        <w:r>
          <w:rPr>
            <w:rFonts w:ascii="Nimbus Sans" w:hAnsi="Nimbus Sans"/>
            <w:color w:val="000000"/>
          </w:rPr>
          <w:t xml:space="preserve">[F11]</w:t>
        </w:r>
      </w:hyperlink>
      <w:r>
        <w:t xml:space="preserve"> </w:t>
      </w:r>
      <w:hyperlink w:anchor="F12">
        <w:r>
          <w:rPr>
            <w:rFonts w:ascii="Nimbus Sans" w:hAnsi="Nimbus Sans"/>
            <w:color w:val="000000"/>
          </w:rPr>
          <w:t xml:space="preserve">[F12]</w:t>
        </w:r>
      </w:hyperlink>
      <w:r>
        <w:t xml:space="preserve"> </w:t>
      </w:r>
      <w:hyperlink w:anchor="F13">
        <w:r>
          <w:rPr>
            <w:rFonts w:ascii="Nimbus Sans" w:hAnsi="Nimbus Sans"/>
            <w:color w:val="000000"/>
          </w:rPr>
          <w:t xml:space="preserve">[F13]</w:t>
        </w:r>
      </w:hyperlink>
      <w:r>
        <w:t xml:space="preserve"> </w:t>
      </w:r>
      <w:hyperlink w:anchor="F14">
        <w:r>
          <w:rPr>
            <w:rFonts w:ascii="Nimbus Sans" w:hAnsi="Nimbus Sans"/>
            <w:color w:val="000000"/>
          </w:rPr>
          <w:t xml:space="preserve">[F14]</w:t>
        </w:r>
      </w:hyperlink>
      <w:r>
        <w:t xml:space="preserve"> </w:t>
      </w:r>
      <w:hyperlink w:anchor="F17">
        <w:r>
          <w:rPr>
            <w:rFonts w:ascii="Nimbus Sans" w:hAnsi="Nimbus Sans"/>
            <w:color w:val="000000"/>
          </w:rPr>
          <w:t xml:space="preserve">[F17]</w:t>
        </w:r>
      </w:hyperlink>
      <w:r>
        <w:t xml:space="preserve"> </w:t>
      </w:r>
      <w:hyperlink w:anchor="F18">
        <w:r>
          <w:rPr>
            <w:rFonts w:ascii="Nimbus Sans" w:hAnsi="Nimbus Sans"/>
            <w:color w:val="000000"/>
          </w:rPr>
          <w:t xml:space="preserve">[F18]</w:t>
        </w:r>
      </w:hyperlink>
      <w:r>
        <w:t xml:space="preserve"> </w:t>
      </w:r>
      <w:hyperlink w:anchor="F19">
        <w:r>
          <w:rPr>
            <w:rFonts w:ascii="Nimbus Sans" w:hAnsi="Nimbus Sans"/>
            <w:color w:val="000000"/>
          </w:rPr>
          <w:t xml:space="preserve">[F19]</w:t>
        </w:r>
      </w:hyperlink>
    </w:p>
    <w:p>
      <w:bookmarkStart w:id="102" w:name="INT_001"/>
      <w:pPr>
        <w:pStyle w:val="Requirement"/>
      </w:pPr>
      <w:r>
        <w:rPr>
          <w:b/>
        </w:rPr>
        <w:t>INT-001 Interfaces separadas.</w:t>
      </w:r>
      <w:r>
        <w:t xml:space="preserve"> O desenho DEVE separar plataforma, descoberta de aceleradores, motor de execução, gestor de cluster e fornecedor remoto. Uma extensão PODE implementar mais de uma interface, conservando as suas responsabilidades.</w:t>
      </w:r>
      <w:bookmarkEnd w:id="102"/>
    </w:p>
    <w:p>
      <w:bookmarkStart w:id="103" w:name="INT_002"/>
      <w:pPr>
        <w:pStyle w:val="Requirement"/>
      </w:pPr>
      <w:r>
        <w:rPr>
          <w:b/>
        </w:rPr>
        <w:t>INT-002 Contrato mínimo.</w:t>
      </w:r>
      <w:r>
        <w:t xml:space="preserve"> Adaptadores que ofereçam execução de tarefas DEVEM disponibilizar identificação, descoberta de capacidades, validação de pedidos, submissão, acompanhamento, resultados e pedido de cancelamento. As restantes interfaces DEVEM publicar o contrato correspondente à sua responsabilidade. A semântica e as limitações de cada operação DEVEM ser explícitas; operações indisponíveis NÃO DEVEM ser anunciadas como suportadas.</w:t>
      </w:r>
      <w:bookmarkEnd w:id="103"/>
    </w:p>
    <w:p>
      <w:bookmarkStart w:id="104" w:name="INT_003"/>
      <w:pPr>
        <w:pStyle w:val="Requirement"/>
      </w:pPr>
      <w:r>
        <w:rPr>
          <w:b/>
        </w:rPr>
        <w:t>INT-003 Capacidades opcionais.</w:t>
      </w:r>
      <w:r>
        <w:t xml:space="preserve"> Reserva, suspensão, checkpoint, retoma, exportação de estado, prioridades e grupos de processos DEVEM ser negociados. Uma capacidade ausente NÃO DEVE ser simulada com uma garantia mais forte do que a implementação real.</w:t>
      </w:r>
      <w:bookmarkEnd w:id="104"/>
    </w:p>
    <w:p>
      <w:bookmarkStart w:id="105" w:name="INT_004"/>
      <w:pPr>
        <w:pStyle w:val="Requirement"/>
      </w:pPr>
      <w:r>
        <w:rPr>
          <w:b/>
        </w:rPr>
        <w:t>INT-004 Extensões de terceiros.</w:t>
      </w:r>
      <w:r>
        <w:t xml:space="preserve"> DEVE existir uma especificação dos contratos, SDK, exemplos e testes de conformidade. Um terceiro DEVE poder acrescentar uma integração sem modificar a semântica central da linguagem.</w:t>
      </w:r>
      <w:bookmarkEnd w:id="105"/>
    </w:p>
    <w:p>
      <w:bookmarkStart w:id="106" w:name="INT_005"/>
      <w:pPr>
        <w:pStyle w:val="Requirement"/>
      </w:pPr>
      <w:r>
        <w:rPr>
          <w:b/>
        </w:rPr>
        <w:t>INT-005 Origem e confiança.</w:t>
      </w:r>
      <w:r>
        <w:t xml:space="preserve"> Cada extensão DEVE identificar mantenedor, versão, dependências e permissões necessárias. A instalação e a atualização DEVEM verificar integridade e a política de confiança definida para essa origem.</w:t>
      </w:r>
      <w:bookmarkEnd w:id="106"/>
    </w:p>
    <w:p>
      <w:bookmarkStart w:id="107" w:name="INT_006"/>
      <w:pPr>
        <w:pStyle w:val="Requirement"/>
      </w:pPr>
      <w:r>
        <w:rPr>
          <w:b/>
        </w:rPr>
        <w:t>INT-006 Validação de modelos.</w:t>
      </w:r>
      <w:r>
        <w:t xml:space="preserve"> O reconhecimento do dispositivo ou carregamento do motor NÃO DEVE equivaler a validação de todos os modelos. Cada capacidade anunciada DEVE indicar o âmbito em que foi testada.</w:t>
      </w:r>
      <w:bookmarkEnd w:id="107"/>
    </w:p>
    <w:p>
      <w:bookmarkStart w:id="108" w:name="INT_007"/>
      <w:pPr>
        <w:pStyle w:val="Requirement"/>
      </w:pPr>
      <w:r>
        <w:rPr>
          <w:b/>
        </w:rPr>
        <w:t>INT-007 Fornecedores remotos.</w:t>
      </w:r>
      <w:r>
        <w:t xml:space="preserve"> Modelos por API DEVEM integrar os mesmos contratos de tarefas, localização de dados, credenciais, custos e auditoria. Uma chamada de ferramenta proposta por um modelo DEVE voltar ao circuito local de autorização.</w:t>
      </w:r>
      <w:bookmarkEnd w:id="108"/>
    </w:p>
    <w:p>
      <w:bookmarkStart w:id="109" w:name="INT_008"/>
      <w:pPr>
        <w:pStyle w:val="Requirement"/>
      </w:pPr>
      <w:r>
        <w:rPr>
          <w:b/>
        </w:rPr>
        <w:t>INT-008 Isolamento.</w:t>
      </w:r>
      <w:r>
        <w:t xml:space="preserve"> Adaptadores DEVEM operar com autoridade limitada ao trabalho concedido. Falhas ou reinícios DEVEM produzir estados e erros reconciliáveis. RECOMENDA-SE separar processos e ambientes de dependências quando isso reduza interferências entre motores.</w:t>
      </w:r>
      <w:bookmarkEnd w:id="109"/>
    </w:p>
    <w:p>
      <w:bookmarkStart w:id="110" w:name="INT_009"/>
      <w:pPr>
        <w:pStyle w:val="Requirement"/>
      </w:pPr>
      <w:r>
        <w:rPr>
          <w:b/>
        </w:rPr>
        <w:t>INT-009 Cálculo conjunto.</w:t>
      </w:r>
      <w:r>
        <w:t xml:space="preserve"> A divisão de uma única inferência ou treino entre fornecedores DEVE ter backend e testes específicos de operações, comunicação, precisão e recuperação. Suporte de tarefas independentes NÃO DEVE ser anunciado como tensor parallel entre quaisquer dispositivos.</w:t>
      </w:r>
      <w:bookmarkEnd w:id="110"/>
    </w:p>
    <w:p>
      <w:r>
        <w:t xml:space="preserve">NCCL, RCCL e HCCL fornecem comunicação distribuída nos seus respetivos ecossistemas. A existência de APIs semelhantes não demonstra interoperabilidade completa entre eles. PJRT oferece um precedente de interface de dispositivos por plugins que pode ser reutilizado onde adequado. </w:t>
      </w:r>
      <w:hyperlink w:anchor="F20">
        <w:r>
          <w:rPr>
            <w:rFonts w:ascii="Nimbus Sans" w:hAnsi="Nimbus Sans"/>
            <w:color w:val="000000"/>
          </w:rPr>
          <w:t xml:space="preserve">[F20]</w:t>
        </w:r>
      </w:hyperlink>
      <w:r>
        <w:t xml:space="preserve"> </w:t>
      </w:r>
      <w:hyperlink w:anchor="F21">
        <w:r>
          <w:rPr>
            <w:rFonts w:ascii="Nimbus Sans" w:hAnsi="Nimbus Sans"/>
            <w:color w:val="000000"/>
          </w:rPr>
          <w:t xml:space="preserve">[F21]</w:t>
        </w:r>
      </w:hyperlink>
      <w:r>
        <w:t xml:space="preserve"> </w:t>
      </w:r>
      <w:hyperlink w:anchor="F13">
        <w:r>
          <w:rPr>
            <w:rFonts w:ascii="Nimbus Sans" w:hAnsi="Nimbus Sans"/>
            <w:color w:val="000000"/>
          </w:rPr>
          <w:t xml:space="preserve">[F13]</w:t>
        </w:r>
      </w:hyperlink>
      <w:r>
        <w:t xml:space="preserve"> </w:t>
      </w:r>
      <w:hyperlink w:anchor="F22">
        <w:r>
          <w:rPr>
            <w:rFonts w:ascii="Nimbus Sans" w:hAnsi="Nimbus Sans"/>
            <w:color w:val="000000"/>
          </w:rPr>
          <w:t xml:space="preserve">[F22]</w:t>
        </w:r>
      </w:hyperlink>
    </w:p>
    <w:p>
      <w:bookmarkStart w:id="111" w:name="chapter_13"/>
      <w:pPr>
        <w:pStyle w:val="Heading1"/>
      </w:pPr>
      <w:r>
        <w:t>13 Versões distribuição e atualizações</w:t>
      </w:r>
      <w:bookmarkEnd w:id="111"/>
    </w:p>
    <w:p>
      <w:r>
        <w:t>O utilizador pode ver uma versão simples do produto. O inventário técnico deve conservar as versões que determinam comportamento e compatibilidade.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2261"/>
        <w:gridCol w:w="7618"/>
      </w:tblGrid>
      <w:tr>
        <w:trPr>
          <w:cantSplit/>
          <w:tblHeader w:val="true"/>
        </w:trPr>
        <w:tc>
          <w:tcPr>
            <w:tcW w:type="dxa" w:w="2261"/>
            <w:vAlign w:val="center"/>
            <w:shd w:fill="26313D" w:val="clear"/>
          </w:tcPr>
          <w:p>
            <w:pPr>
              <w:pStyle w:val="Tabletext"/>
              <w:jc w:val="center"/>
            </w:pPr>
            <w:r>
              <w:rPr>
                <w:b/>
                <w:color w:val="FFFFFF"/>
              </w:rPr>
              <w:t>Elemento</w:t>
            </w:r>
          </w:p>
        </w:tc>
        <w:tc>
          <w:tcPr>
            <w:tcW w:type="dxa" w:w="7618"/>
            <w:vAlign w:val="center"/>
            <w:shd w:fill="26313D" w:val="clear"/>
          </w:tcPr>
          <w:p>
            <w:pPr>
              <w:pStyle w:val="Tabletext"/>
            </w:pPr>
            <w:r>
              <w:rPr>
                <w:b/>
                <w:color w:val="FFFFFF"/>
              </w:rPr>
              <w:t>Objeto versionado</w:t>
            </w:r>
          </w:p>
        </w:tc>
      </w:tr>
      <w:tr>
        <w:trPr>
          <w:cantSplit/>
        </w:trPr>
        <w:tc>
          <w:tcPr>
            <w:tcW w:type="dxa" w:w="2261"/>
            <w:vAlign w:val="center"/>
            <w:shd w:fill="FFFFFF" w:val="clear"/>
          </w:tcPr>
          <w:p>
            <w:pPr>
              <w:pStyle w:val="Tabletext"/>
              <w:jc w:val="center"/>
            </w:pPr>
            <w:r>
              <w:t>Produto</w:t>
            </w:r>
          </w:p>
        </w:tc>
        <w:tc>
          <w:tcPr>
            <w:tcW w:type="dxa" w:w="7618"/>
            <w:vAlign w:val="center"/>
            <w:shd w:fill="FFFFFF" w:val="clear"/>
          </w:tcPr>
          <w:p>
            <w:pPr>
              <w:pStyle w:val="Tabletext"/>
            </w:pPr>
            <w:r>
              <w:t>Conjunto de funcionalidades distribuídas</w:t>
            </w:r>
          </w:p>
        </w:tc>
      </w:tr>
      <w:tr>
        <w:trPr>
          <w:cantSplit/>
        </w:trPr>
        <w:tc>
          <w:tcPr>
            <w:tcW w:type="dxa" w:w="2261"/>
            <w:vAlign w:val="center"/>
            <w:shd w:fill="F2F5F7" w:val="clear"/>
          </w:tcPr>
          <w:p>
            <w:pPr>
              <w:pStyle w:val="Tabletext"/>
              <w:jc w:val="center"/>
            </w:pPr>
            <w:r>
              <w:t>Linguagem</w:t>
            </w:r>
          </w:p>
        </w:tc>
        <w:tc>
          <w:tcPr>
            <w:tcW w:type="dxa" w:w="7618"/>
            <w:vAlign w:val="center"/>
            <w:shd w:fill="F2F5F7" w:val="clear"/>
          </w:tcPr>
          <w:p>
            <w:pPr>
              <w:pStyle w:val="Tabletext"/>
            </w:pPr>
            <w:r>
              <w:t>Sintaxe e significado dos programas</w:t>
            </w:r>
          </w:p>
        </w:tc>
      </w:tr>
      <w:tr>
        <w:trPr>
          <w:cantSplit/>
        </w:trPr>
        <w:tc>
          <w:tcPr>
            <w:tcW w:type="dxa" w:w="2261"/>
            <w:vAlign w:val="center"/>
            <w:shd w:fill="FFFFFF" w:val="clear"/>
          </w:tcPr>
          <w:p>
            <w:pPr>
              <w:pStyle w:val="Tabletext"/>
              <w:jc w:val="center"/>
            </w:pPr>
            <w:r>
              <w:t>Plano</w:t>
            </w:r>
          </w:p>
        </w:tc>
        <w:tc>
          <w:tcPr>
            <w:tcW w:type="dxa" w:w="7618"/>
            <w:vAlign w:val="center"/>
            <w:shd w:fill="FFFFFF" w:val="clear"/>
          </w:tcPr>
          <w:p>
            <w:pPr>
              <w:pStyle w:val="Tabletext"/>
            </w:pPr>
            <w:r>
              <w:t>Esquema das tarefas e políticas serializadas</w:t>
            </w:r>
          </w:p>
        </w:tc>
      </w:tr>
      <w:tr>
        <w:trPr>
          <w:cantSplit/>
        </w:trPr>
        <w:tc>
          <w:tcPr>
            <w:tcW w:type="dxa" w:w="2261"/>
            <w:vAlign w:val="center"/>
            <w:shd w:fill="F2F5F7" w:val="clear"/>
          </w:tcPr>
          <w:p>
            <w:pPr>
              <w:pStyle w:val="Tabletext"/>
              <w:jc w:val="center"/>
            </w:pPr>
            <w:r>
              <w:t>Protocolo</w:t>
            </w:r>
          </w:p>
        </w:tc>
        <w:tc>
          <w:tcPr>
            <w:tcW w:type="dxa" w:w="7618"/>
            <w:vAlign w:val="center"/>
            <w:shd w:fill="F2F5F7" w:val="clear"/>
          </w:tcPr>
          <w:p>
            <w:pPr>
              <w:pStyle w:val="Tabletext"/>
            </w:pPr>
            <w:r>
              <w:t>Mensagens e negociação entre componentes</w:t>
            </w:r>
          </w:p>
        </w:tc>
      </w:tr>
      <w:tr>
        <w:trPr>
          <w:cantSplit/>
        </w:trPr>
        <w:tc>
          <w:tcPr>
            <w:tcW w:type="dxa" w:w="2261"/>
            <w:vAlign w:val="center"/>
            <w:shd w:fill="FFFFFF" w:val="clear"/>
          </w:tcPr>
          <w:p>
            <w:pPr>
              <w:pStyle w:val="Tabletext"/>
              <w:jc w:val="center"/>
            </w:pPr>
            <w:r>
              <w:t>API de extensão</w:t>
            </w:r>
          </w:p>
        </w:tc>
        <w:tc>
          <w:tcPr>
            <w:tcW w:type="dxa" w:w="7618"/>
            <w:vAlign w:val="center"/>
            <w:shd w:fill="FFFFFF" w:val="clear"/>
          </w:tcPr>
          <w:p>
            <w:pPr>
              <w:pStyle w:val="Tabletext"/>
            </w:pPr>
            <w:r>
              <w:t>Contrato implementado pelos adaptadores</w:t>
            </w:r>
          </w:p>
        </w:tc>
      </w:tr>
      <w:tr>
        <w:trPr>
          <w:cantSplit/>
        </w:trPr>
        <w:tc>
          <w:tcPr>
            <w:tcW w:type="dxa" w:w="2261"/>
            <w:vAlign w:val="center"/>
            <w:shd w:fill="F2F5F7" w:val="clear"/>
          </w:tcPr>
          <w:p>
            <w:pPr>
              <w:pStyle w:val="Tabletext"/>
              <w:jc w:val="center"/>
            </w:pPr>
            <w:r>
              <w:t>Estado</w:t>
            </w:r>
          </w:p>
        </w:tc>
        <w:tc>
          <w:tcPr>
            <w:tcW w:type="dxa" w:w="7618"/>
            <w:vAlign w:val="center"/>
            <w:shd w:fill="F2F5F7" w:val="clear"/>
          </w:tcPr>
          <w:p>
            <w:pPr>
              <w:pStyle w:val="Tabletext"/>
            </w:pPr>
            <w:r>
              <w:t>Filas históricos artefactos e checkpoints persistentes</w:t>
            </w:r>
          </w:p>
        </w:tc>
      </w:tr>
      <w:tr>
        <w:trPr>
          <w:cantSplit/>
        </w:trPr>
        <w:tc>
          <w:tcPr>
            <w:tcW w:type="dxa" w:w="2261"/>
            <w:vAlign w:val="center"/>
            <w:shd w:fill="FFFFFF" w:val="clear"/>
          </w:tcPr>
          <w:p>
            <w:pPr>
              <w:pStyle w:val="Tabletext"/>
              <w:jc w:val="center"/>
            </w:pPr>
            <w:r>
              <w:t>Ambiente</w:t>
            </w:r>
          </w:p>
        </w:tc>
        <w:tc>
          <w:tcPr>
            <w:tcW w:type="dxa" w:w="7618"/>
            <w:vAlign w:val="center"/>
            <w:shd w:fill="FFFFFF" w:val="clear"/>
          </w:tcPr>
          <w:p>
            <w:pPr>
              <w:pStyle w:val="Tabletext"/>
            </w:pPr>
            <w:r>
              <w:t>Motor bibliotecas Python e dependências nativas</w:t>
            </w:r>
          </w:p>
        </w:tc>
      </w:tr>
      <w:tr>
        <w:trPr>
          <w:cantSplit/>
        </w:trPr>
        <w:tc>
          <w:tcPr>
            <w:tcW w:type="dxa" w:w="2261"/>
            <w:vAlign w:val="center"/>
            <w:shd w:fill="F2F5F7" w:val="clear"/>
          </w:tcPr>
          <w:p>
            <w:pPr>
              <w:pStyle w:val="Tabletext"/>
              <w:jc w:val="center"/>
            </w:pPr>
            <w:r>
              <w:t>Plataforma</w:t>
            </w:r>
          </w:p>
        </w:tc>
        <w:tc>
          <w:tcPr>
            <w:tcW w:type="dxa" w:w="7618"/>
            <w:vAlign w:val="center"/>
            <w:shd w:fill="F2F5F7" w:val="clear"/>
          </w:tcPr>
          <w:p>
            <w:pPr>
              <w:pStyle w:val="Tabletext"/>
            </w:pPr>
            <w:r>
              <w:t>Sistema ABI controladores firmware e aceleradores</w:t>
            </w:r>
          </w:p>
        </w:tc>
      </w:tr>
      <w:tr>
        <w:trPr>
          <w:cantSplit/>
        </w:trPr>
        <w:tc>
          <w:tcPr>
            <w:tcW w:type="dxa" w:w="2261"/>
            <w:vAlign w:val="center"/>
            <w:shd w:fill="FFFFFF" w:val="clear"/>
          </w:tcPr>
          <w:p>
            <w:pPr>
              <w:pStyle w:val="Tabletext"/>
              <w:jc w:val="center"/>
            </w:pPr>
            <w:r>
              <w:t>Modelo</w:t>
            </w:r>
          </w:p>
        </w:tc>
        <w:tc>
          <w:tcPr>
            <w:tcW w:type="dxa" w:w="7618"/>
            <w:vAlign w:val="center"/>
            <w:shd w:fill="FFFFFF" w:val="clear"/>
          </w:tcPr>
          <w:p>
            <w:pPr>
              <w:pStyle w:val="Tabletext"/>
            </w:pPr>
            <w:r>
              <w:t>Pesos tokenizer configuração formato e quantização</w:t>
            </w:r>
          </w:p>
        </w:tc>
      </w:tr>
    </w:tbl>
    <w:p>
      <w:pPr>
        <w:spacing w:after="20" w:before="0" w:line="60" w:lineRule="exact"/>
      </w:pPr>
      <w:r>
        <w:rPr>
          <w:sz w:val="6"/>
        </w:rPr>
      </w:r>
    </w:p>
    <w:p>
      <w:bookmarkStart w:id="112" w:name="VER_001"/>
      <w:pPr>
        <w:pStyle w:val="Requirement"/>
      </w:pPr>
      <w:r>
        <w:rPr>
          <w:b/>
        </w:rPr>
        <w:t>VER-001 Separação.</w:t>
      </w:r>
      <w:r>
        <w:t xml:space="preserve"> As versões da linguagem, plano, protocolo, API de extensão e estado persistente DEVEM ser identificáveis separadamente da versão comercial do produto.</w:t>
      </w:r>
      <w:bookmarkEnd w:id="112"/>
    </w:p>
    <w:p>
      <w:bookmarkStart w:id="113" w:name="VER_002"/>
      <w:pPr>
        <w:pStyle w:val="Requirement"/>
      </w:pPr>
      <w:r>
        <w:rPr>
          <w:b/>
        </w:rPr>
        <w:t>VER-002 Negociação.</w:t>
      </w:r>
      <w:r>
        <w:t xml:space="preserve"> Os componentes DEVEM negociar versões e capacidades antes da execução relevante. Funcionalidades obrigatórias desconhecidas DEVEM provocar recusa explícita. O funcionamento parcial só PODE ocorrer quando definido pelo contrato.</w:t>
      </w:r>
      <w:bookmarkEnd w:id="113"/>
    </w:p>
    <w:p>
      <w:bookmarkStart w:id="114" w:name="VER_003"/>
      <w:pPr>
        <w:pStyle w:val="Requirement"/>
      </w:pPr>
      <w:r>
        <w:rPr>
          <w:b/>
        </w:rPr>
        <w:t>VER-003 Publicação.</w:t>
      </w:r>
      <w:r>
        <w:t xml:space="preserve"> Cada publicação DEVE ter manifesto de destino, dependências, integridade, origem e combinações suportadas. Ferramentas de desenvolvimento, clientes, executores, adaptadores e modelos DEVEM poder ser distribuídos modularmente quando os contratos o permitam.</w:t>
      </w:r>
      <w:bookmarkEnd w:id="114"/>
    </w:p>
    <w:p>
      <w:bookmarkStart w:id="115" w:name="VER_004"/>
      <w:pPr>
        <w:pStyle w:val="Requirement"/>
      </w:pPr>
      <w:r>
        <w:rPr>
          <w:b/>
        </w:rPr>
        <w:t>VER-004 Atualização.</w:t>
      </w:r>
      <w:r>
        <w:t xml:space="preserve"> Atualizações DEVEM verificar compatibilidade, tratar o trabalho em curso e confirmar funcionamento antes da ativação definitiva. RECOMENDA-SE ativação gradual para alterações que afetem execução.</w:t>
      </w:r>
      <w:bookmarkEnd w:id="115"/>
    </w:p>
    <w:p>
      <w:bookmarkStart w:id="116" w:name="VER_005"/>
      <w:pPr>
        <w:pStyle w:val="Requirement"/>
      </w:pPr>
      <w:r>
        <w:rPr>
          <w:b/>
        </w:rPr>
        <w:t>VER-005 Reversão.</w:t>
      </w:r>
      <w:r>
        <w:t xml:space="preserve"> A reversão DEVE considerar o estado persistente e os checkpoints. Reinstalar um binário antigo NÃO DEVE ser apresentado como recuperação válida se esse binário não compreende os dados atualizados.</w:t>
      </w:r>
      <w:bookmarkEnd w:id="116"/>
    </w:p>
    <w:p>
      <w:bookmarkStart w:id="117" w:name="VER_006"/>
      <w:pPr>
        <w:pStyle w:val="Requirement"/>
      </w:pPr>
      <w:r>
        <w:rPr>
          <w:b/>
        </w:rPr>
        <w:t>VER-006 Janela temporal.</w:t>
      </w:r>
      <w:r>
        <w:t xml:space="preserve"> A política de versões simultaneamente suportadas DEVE ser explícita e testada. Uma regra como versão atual e anterior só PODE ser anunciada depois de definir a que componentes, versões e funcionalidades se aplica.</w:t>
      </w:r>
      <w:bookmarkEnd w:id="117"/>
    </w:p>
    <w:p>
      <w:bookmarkStart w:id="118" w:name="VER_007"/>
      <w:pPr>
        <w:pStyle w:val="Requirement"/>
      </w:pPr>
      <w:r>
        <w:rPr>
          <w:b/>
        </w:rPr>
        <w:t>VER-007 Estabilidade.</w:t>
      </w:r>
      <w:r>
        <w:t xml:space="preserve"> Alterações incompatíveis DEVEM ter identificação, migração e tratamento de programas existentes. A descontinuação de um destino DEVE indicar impacto e alternativas disponíveis, sem conversão silenciosa dos requisitos das tarefas.</w:t>
      </w:r>
      <w:bookmarkEnd w:id="118"/>
    </w:p>
    <w:p>
      <w:bookmarkStart w:id="119" w:name="VER_008"/>
      <w:pPr>
        <w:pStyle w:val="Requirement"/>
      </w:pPr>
      <w:r>
        <w:rPr>
          <w:b/>
        </w:rPr>
        <w:t>VER-008 Níveis de suporte.</w:t>
      </w:r>
      <w:r>
        <w:t xml:space="preserve"> O produto DEVE distinguir validado pelo projeto, validado pelo mantenedor, suportado com limitações, experimental, cliente remoto e não suportado. A classificação DEVE ser atribuída por funcionalidade e combinação de versões.</w:t>
      </w:r>
      <w:bookmarkEnd w:id="119"/>
    </w:p>
    <w:p>
      <w:bookmarkStart w:id="120" w:name="VER_009"/>
      <w:pPr>
        <w:pStyle w:val="Requirement"/>
      </w:pPr>
      <w:r>
        <w:rPr>
          <w:b/>
        </w:rPr>
        <w:t>VER-009 Autenticidade das atualizações.</w:t>
      </w:r>
      <w:r>
        <w:t xml:space="preserve"> Pacotes publicados DEVEM usar assinaturas ou um mecanismo de autenticidade equivalente adequado ao canal. A verificação DEVE respeitar chaves autorizadas, revogação e política de versões. Uma assinatura válida de um pacote antigo NÃO DEVE autorizar, por si só, um regresso a essa versão.</w:t>
      </w:r>
      <w:bookmarkEnd w:id="120"/>
    </w:p>
    <w:p>
      <w:pPr>
        <w:pStyle w:val="Heading2"/>
      </w:pPr>
      <w:r>
        <w:t>Construção reprodutível</w:t>
      </w:r>
    </w:p>
    <w:p>
      <w:bookmarkStart w:id="121" w:name="BLD_001"/>
      <w:pPr>
        <w:pStyle w:val="Requirement"/>
      </w:pPr>
      <w:r>
        <w:rPr>
          <w:b/>
        </w:rPr>
        <w:t>BLD-001 Processo de construção.</w:t>
      </w:r>
      <w:r>
        <w:t xml:space="preserve"> Cada destino suportado DEVE ter um processo de construção documentado e automatizável, com ferramentas, SDKs e requisitos identificados. Dependências especiais ou restrições que impeçam uma reconstrução independente DEVEM ser documentadas.</w:t>
      </w:r>
      <w:bookmarkEnd w:id="121"/>
    </w:p>
    <w:p>
      <w:bookmarkStart w:id="122" w:name="BLD_002"/>
      <w:pPr>
        <w:pStyle w:val="Requirement"/>
      </w:pPr>
      <w:r>
        <w:rPr>
          <w:b/>
        </w:rPr>
        <w:t>BLD-002 Inventário de componentes.</w:t>
      </w:r>
      <w:r>
        <w:t xml:space="preserve"> Cada distribuição DEVE conservar um inventário dos componentes, versões, hashes e licenças utilizados. Variantes de sistema, arquitetura ou ABI NÃO DEVEM partilhar implicitamente o mesmo conjunto de dependências binárias.</w:t>
      </w:r>
      <w:bookmarkEnd w:id="122"/>
    </w:p>
    <w:p>
      <w:bookmarkStart w:id="123" w:name="BLD_003"/>
      <w:pPr>
        <w:pStyle w:val="Requirement"/>
      </w:pPr>
      <w:r>
        <w:rPr>
          <w:b/>
        </w:rPr>
        <w:t>BLD-003 Reprodução de artefactos.</w:t>
      </w:r>
      <w:r>
        <w:t xml:space="preserve"> O projeto DEVE verificar a reconstrução num ambiente limpo. Quando não conseguir garantir igualdade exata dos bytes, DEVE declarar o nível de equivalência verificado e conservar a proveniência dos artefactos resultantes.</w:t>
      </w:r>
      <w:bookmarkEnd w:id="123"/>
    </w:p>
    <w:p>
      <w:r>
        <w:t xml:space="preserve">Pacotes Python e imagens para várias arquiteturas demonstram por que a distribuição precisa de distinguir destinos. O pacote não elimina a dependência da ABI, do sistema ou do anfitrião de execução. </w:t>
      </w:r>
      <w:hyperlink w:anchor="F23">
        <w:r>
          <w:rPr>
            <w:rFonts w:ascii="Nimbus Sans" w:hAnsi="Nimbus Sans"/>
            <w:color w:val="000000"/>
          </w:rPr>
          <w:t xml:space="preserve">[F23]</w:t>
        </w:r>
      </w:hyperlink>
      <w:r>
        <w:t xml:space="preserve"> </w:t>
      </w:r>
      <w:hyperlink w:anchor="F24">
        <w:r>
          <w:rPr>
            <w:rFonts w:ascii="Nimbus Sans" w:hAnsi="Nimbus Sans"/>
            <w:color w:val="000000"/>
          </w:rPr>
          <w:t xml:space="preserve">[F24]</w:t>
        </w:r>
      </w:hyperlink>
    </w:p>
    <w:p>
      <w:bookmarkStart w:id="124" w:name="chapter_14"/>
      <w:pPr>
        <w:pStyle w:val="Heading1"/>
      </w:pPr>
      <w:r>
        <w:t>14 Ferramentas documentação e experiência de utilização</w:t>
      </w:r>
      <w:bookmarkEnd w:id="124"/>
    </w:p>
    <w:p>
      <w:r>
        <w:t>A linguagem deve permitir compreender um programa antes de o executar e explicar o resultado depois da execução.</w:t>
      </w:r>
    </w:p>
    <w:p>
      <w:bookmarkStart w:id="125" w:name="DEV_001"/>
      <w:pPr>
        <w:pStyle w:val="Requirement"/>
      </w:pPr>
      <w:r>
        <w:rPr>
          <w:b/>
        </w:rPr>
        <w:t>DEV-001 Ferramentas essenciais.</w:t>
      </w:r>
      <w:r>
        <w:t xml:space="preserve"> O primeiro conjunto utilizável DEVE oferecer validação de programas ou planos, inspeção de capacidades, execução, acompanhamento, cancelamento e consulta de erros. RECOMENDA-SE formatação consistente e integração com editores.</w:t>
      </w:r>
      <w:bookmarkEnd w:id="125"/>
    </w:p>
    <w:p>
      <w:bookmarkStart w:id="126" w:name="DEV_002"/>
      <w:pPr>
        <w:pStyle w:val="Requirement"/>
      </w:pPr>
      <w:r>
        <w:rPr>
          <w:b/>
        </w:rPr>
        <w:t>DEV-002 Diagnósticos.</w:t>
      </w:r>
      <w:r>
        <w:t xml:space="preserve"> Os erros DEVEM identificar a operação, a localização no programa quando disponível, o requisito violado e a causa conhecida. Mensagens DEVEM distinguir erro do programa, recusa de política, incompatibilidade, indisponibilidade e falha de execução.</w:t>
      </w:r>
      <w:bookmarkEnd w:id="126"/>
    </w:p>
    <w:p>
      <w:bookmarkStart w:id="127" w:name="DEV_003"/>
      <w:pPr>
        <w:pStyle w:val="Requirement"/>
      </w:pPr>
      <w:r>
        <w:rPr>
          <w:b/>
        </w:rPr>
        <w:t>DEV-003 Antevisão.</w:t>
      </w:r>
      <w:r>
        <w:t xml:space="preserve"> A plataforma DEVE permitir inspecionar um plano sem executar os seus efeitos externos. A antevisão DEVE apresentar os requisitos e as incertezas relevantes, sem anunciar como reservados recursos ainda não atribuídos.</w:t>
      </w:r>
      <w:bookmarkEnd w:id="127"/>
    </w:p>
    <w:p>
      <w:bookmarkStart w:id="128" w:name="DEV_004"/>
      <w:pPr>
        <w:pStyle w:val="Requirement"/>
      </w:pPr>
      <w:r>
        <w:rPr>
          <w:b/>
        </w:rPr>
        <w:t>DEV-004 Documentação.</w:t>
      </w:r>
      <w:r>
        <w:t xml:space="preserve"> Cada funcionalidade estável DEVE possuir descrição semântica, exemplos executáveis, erros relevantes e condições de suporte. Exemplos destinados ao utilizador DEVEM ser verificados nas versões indicadas.</w:t>
      </w:r>
      <w:bookmarkEnd w:id="128"/>
    </w:p>
    <w:p>
      <w:bookmarkStart w:id="129" w:name="DEV_005"/>
      <w:pPr>
        <w:pStyle w:val="Requirement"/>
      </w:pPr>
      <w:r>
        <w:rPr>
          <w:b/>
        </w:rPr>
        <w:t>DEV-005 Observação.</w:t>
      </w:r>
      <w:r>
        <w:t xml:space="preserve"> O produto DEVE permitir acompanhar estados, tentativas, tempos e utilização de recursos. Telemetria e logs DEVEM minimizar dados privados e respeitar as permissões do projeto.</w:t>
      </w:r>
      <w:bookmarkEnd w:id="129"/>
    </w:p>
    <w:p>
      <w:bookmarkStart w:id="130" w:name="DEV_006"/>
      <w:pPr>
        <w:pStyle w:val="Requirement"/>
      </w:pPr>
      <w:r>
        <w:rPr>
          <w:b/>
        </w:rPr>
        <w:t>DEV-006 Interface comum.</w:t>
      </w:r>
      <w:r>
        <w:t xml:space="preserve"> Clientes de plataformas diferentes DEVEM partilhar os mesmos contratos de tarefas, ações e estados. Implementações visuais PODEM ser específicas do sistema. RECOMENDA-SE acesso por teclado, mensagens legíveis e informação de estado que não dependa apenas de cor.</w:t>
      </w:r>
      <w:bookmarkEnd w:id="130"/>
    </w:p>
    <w:p>
      <w:bookmarkStart w:id="131" w:name="DEV_007"/>
      <w:pPr>
        <w:pStyle w:val="Requirement"/>
      </w:pPr>
      <w:r>
        <w:rPr>
          <w:b/>
        </w:rPr>
        <w:t>DEV-007 Dependências inspecionáveis.</w:t>
      </w:r>
      <w:r>
        <w:t xml:space="preserve"> Ferramentas DEVEM permitir conhecer as versões e permissões efetivas de uma execução. RECOMENDA-SE um diagnóstico de instalação que diferencie pacote instalado, dispositivo detetado, motor utilizável e modelo validado.</w:t>
      </w:r>
      <w:bookmarkEnd w:id="131"/>
    </w:p>
    <w:p>
      <w:bookmarkStart w:id="132" w:name="DEV_008"/>
      <w:pPr>
        <w:pStyle w:val="Requirement"/>
      </w:pPr>
      <w:r>
        <w:rPr>
          <w:b/>
        </w:rPr>
        <w:t>DEV-008 Exemplos completos.</w:t>
      </w:r>
      <w:r>
        <w:t xml:space="preserve"> A documentação DEVE incluir pelo menos um fluxo local, um fluxo com cluster, um fluxo com fornecedor remoto autorizado e um caso de recusa de política. Os exemplos DEVEM evidenciar o comportamento perante indisponibilidade e falha.</w:t>
      </w:r>
      <w:bookmarkEnd w:id="132"/>
    </w:p>
    <w:p>
      <w:bookmarkStart w:id="133" w:name="chapter_15"/>
      <w:pPr>
        <w:pStyle w:val="Heading1"/>
      </w:pPr>
      <w:r>
        <w:t>15 Qualidade e critérios de aceitação</w:t>
      </w:r>
      <w:bookmarkEnd w:id="133"/>
    </w:p>
    <w:p>
      <w:r>
        <w:t>A aceitação exige comportamento observável. Compilar, abrir a interface ou detetar uma GPU não basta para declarar correto um caminho de execução.</w:t>
      </w:r>
    </w:p>
    <w:p>
      <w:bookmarkStart w:id="134" w:name="VAL_001"/>
      <w:pPr>
        <w:pStyle w:val="Requirement"/>
      </w:pPr>
      <w:r>
        <w:rPr>
          <w:b/>
        </w:rPr>
        <w:t>VAL-001 Evidência.</w:t>
      </w:r>
      <w:r>
        <w:t xml:space="preserve"> Cada requisito obrigatório aplicável DEVE ter evidência de implementação e validação. A entrega DEVE incluir resultados, versões, configuração de teste e limitações conhecidas.</w:t>
      </w:r>
      <w:bookmarkEnd w:id="134"/>
    </w:p>
    <w:p>
      <w:bookmarkStart w:id="135" w:name="VAL_002"/>
      <w:pPr>
        <w:pStyle w:val="Requirement"/>
      </w:pPr>
      <w:r>
        <w:rPr>
          <w:b/>
        </w:rPr>
        <w:t>VAL-002 Correção.</w:t>
      </w:r>
      <w:r>
        <w:t xml:space="preserve"> Testes DEVEM cobrir resultados corretos, recusas esperadas, isolamento, erros e recuperação. A qualidade de modelos DEVE ser avaliada segundo critérios definidos para a tarefa.</w:t>
      </w:r>
      <w:bookmarkEnd w:id="135"/>
    </w:p>
    <w:p>
      <w:bookmarkStart w:id="136" w:name="VAL_003"/>
      <w:pPr>
        <w:pStyle w:val="Requirement"/>
      </w:pPr>
      <w:r>
        <w:rPr>
          <w:b/>
        </w:rPr>
        <w:t>VAL-003 Desempenho.</w:t>
      </w:r>
      <w:r>
        <w:t xml:space="preserve"> Comparações DEVEM declarar modelo, revisão, precisão, quantização, contexto, concorrência e hardware. Arranque e preparação DEVEM ser distinguidos de execução com o modelo carregado. As medições DEVEM permitir avaliar latência, capacidade, memória, energia quando disponível e custo por trabalho útil.</w:t>
      </w:r>
      <w:bookmarkEnd w:id="136"/>
    </w:p>
    <w:p>
      <w:bookmarkStart w:id="137" w:name="VAL_004"/>
      <w:pPr>
        <w:pStyle w:val="Requirement"/>
      </w:pPr>
      <w:r>
        <w:rPr>
          <w:b/>
        </w:rPr>
        <w:t>VAL-004 Falhas reais.</w:t>
      </w:r>
      <w:r>
        <w:t xml:space="preserve"> Perfis distribuídos DEVEM ser avaliados com interrupções de processo, nó e rede, alterações de disponibilidade e resultados externos incertos. Os testes DEVEM verificar que não há conclusões fictícias nem repetições cegas de efeitos.</w:t>
      </w:r>
      <w:bookmarkEnd w:id="137"/>
    </w:p>
    <w:p>
      <w:bookmarkStart w:id="138" w:name="VAL_005"/>
      <w:pPr>
        <w:pStyle w:val="Requirement"/>
      </w:pPr>
      <w:r>
        <w:rPr>
          <w:b/>
        </w:rPr>
        <w:t>VAL-005 Extensibilidade demonstrada.</w:t>
      </w:r>
      <w:r>
        <w:t xml:space="preserve"> Antes de anunciar independência operacional de fornecedores, o projeto DEVE demonstrar uma terceira integração real, além das duas configurações de referência, através dos contratos de extensão. Simulações PODEM ajudar ao desenvolvimento, mas não substituem essa evidência.</w:t>
      </w:r>
      <w:bookmarkEnd w:id="138"/>
    </w:p>
    <w:p>
      <w:bookmarkStart w:id="139" w:name="VAL_006"/>
      <w:pPr>
        <w:pStyle w:val="Requirement"/>
      </w:pPr>
      <w:r>
        <w:rPr>
          <w:b/>
        </w:rPr>
        <w:t>VAL-006 Critério de publicação.</w:t>
      </w:r>
      <w:r>
        <w:t xml:space="preserve"> Uma publicação estável DEVE passar os cenários aplicáveis e resolver falhas que violem requisitos obrigatórios. Funcionalidades incompletas DEVEM permanecer assinaladas como experimentais ou indisponíveis.</w:t>
      </w:r>
      <w:bookmarkEnd w:id="139"/>
    </w:p>
    <w:p>
      <w:pPr>
        <w:pStyle w:val="Heading2"/>
      </w:pPr>
      <w:r>
        <w:t>Cenários obrigatórios por perfil</w:t>
      </w:r>
    </w:p>
    <w:p>
      <w:r>
        <w:t>Cada cenário deve indicar preparação, estímulo, resultado esperado e evidência recolhida. A aplicação dos cenários segue a matriz de perfis exigida por NOR-004 e as capacidades efetivamente disponibilizadas. O catálogo de conformidade deve justificar exclusões, sem retirar testes necessários ao comportamento oferecido.</w:t>
      </w:r>
    </w:p>
    <w:p>
      <w:bookmarkStart w:id="140" w:name="CA_01"/>
      <w:pPr>
        <w:pStyle w:val="Acceptance"/>
      </w:pPr>
      <w:r>
        <w:rPr>
          <w:b/>
        </w:rPr>
        <w:t>CA-01 Tipo externo inválido.</w:t>
      </w:r>
      <w:r>
        <w:t xml:space="preserve"> Um adaptador devolve texto onde o contrato exige um número. O sistema rejeita o valor com erro de validação e não o propaga como dado tipado. Evidência: diagnóstico e ausência dos efeitos dependentes. Normas: LNG-003 a LNG-005, DEV-002.</w:t>
      </w:r>
      <w:bookmarkEnd w:id="140"/>
    </w:p>
    <w:p>
      <w:bookmarkStart w:id="141" w:name="CA_02"/>
      <w:pPr>
        <w:pStyle w:val="Acceptance"/>
      </w:pPr>
      <w:r>
        <w:rPr>
          <w:b/>
        </w:rPr>
        <w:t>CA-02 Exportação proibida.</w:t>
      </w:r>
      <w:r>
        <w:t xml:space="preserve"> Um documento e um resumo derivado tentam seguir para um destino não autorizado. Ambos são bloqueados antes da transferência. Evidência: decisão de política, destinos recusados e nenhuma autorização ampliada. Normas: LNG-009 a LNG-011, DAD-001 e DAD-002, REC-001.</w:t>
      </w:r>
      <w:bookmarkEnd w:id="141"/>
    </w:p>
    <w:p>
      <w:bookmarkStart w:id="142" w:name="CA_03"/>
      <w:pPr>
        <w:pStyle w:val="Acceptance"/>
      </w:pPr>
      <w:r>
        <w:rPr>
          <w:b/>
        </w:rPr>
        <w:t>CA-03 Autoridade num documento.</w:t>
      </w:r>
      <w:r>
        <w:t xml:space="preserve"> Uma entrada contém instruções para obter credenciais ou executar ferramentas. O conteúdo não aumenta capacidades e o efeito não autorizado é recusado. Normas: LNG-010, GOV-002, GOV-005 e GOV-007.</w:t>
      </w:r>
      <w:bookmarkEnd w:id="142"/>
    </w:p>
    <w:p>
      <w:bookmarkStart w:id="143" w:name="CA_04"/>
      <w:pPr>
        <w:pStyle w:val="Acceptance"/>
      </w:pPr>
      <w:r>
        <w:rPr>
          <w:b/>
        </w:rPr>
        <w:t>CA-04 Tarefa já autorizada.</w:t>
      </w:r>
      <w:r>
        <w:t xml:space="preserve"> Um fluxo dentro da delegação vigente executa sem confirmações redundantes. Uma alteração de âmbito é bloqueada ou segue a política de autorização adicional. Durante uma partição de rede, a execução não inicia novos efeitos depois de expirar a autorização local; a revogação recebida respeita a regra do perfil. Normas: GOV-001, GOV-002 e GOV-005.</w:t>
      </w:r>
      <w:bookmarkEnd w:id="143"/>
    </w:p>
    <w:p>
      <w:bookmarkStart w:id="144" w:name="CA_05"/>
      <w:pPr>
        <w:pStyle w:val="Acceptance"/>
      </w:pPr>
      <w:r>
        <w:rPr>
          <w:b/>
        </w:rPr>
        <w:t>CA-05 Comunicação entre pares.</w:t>
      </w:r>
      <w:r>
        <w:t xml:space="preserve"> Um agente tenta contornar a rota hierárquica. A mensagem é recusada. Uma transferência técnica autorizada continua possível e registada. Normas: ARQ-004 e GOV-003.</w:t>
      </w:r>
      <w:bookmarkEnd w:id="144"/>
    </w:p>
    <w:p>
      <w:bookmarkStart w:id="145" w:name="CA_06"/>
      <w:pPr>
        <w:pStyle w:val="Acceptance"/>
      </w:pPr>
      <w:r>
        <w:rPr>
          <w:b/>
        </w:rPr>
        <w:t>CA-06 Coordenadores concorrentes.</w:t>
      </w:r>
      <w:r>
        <w:t xml:space="preserve"> Após uma partição de rede, duas instâncias tentam atribuir o mesmo recurso. O mecanismo de autoridade impede efeitos incompatíveis. Normas: ARQ-005, GOV-006, TAR-009 e REC-005.</w:t>
      </w:r>
      <w:bookmarkEnd w:id="145"/>
    </w:p>
    <w:p>
      <w:bookmarkStart w:id="146" w:name="CA_07"/>
      <w:pPr>
        <w:pStyle w:val="Acceptance"/>
      </w:pPr>
      <w:r>
        <w:rPr>
          <w:b/>
        </w:rPr>
        <w:t>CA-07 Destino incompatível.</w:t>
      </w:r>
      <w:r>
        <w:t xml:space="preserve"> Existe capacidade livre, mas o modelo, a operação ou a versão necessária não é suportada. O sistema aguarda ou recusa segundo o contrato, sem alterar modelo ou precisão silenciosamente. Normas: IDN-004, CON-006, DAD-003 e DAD-004, REC-008.</w:t>
      </w:r>
      <w:bookmarkEnd w:id="146"/>
    </w:p>
    <w:p>
      <w:bookmarkStart w:id="147" w:name="CA_08"/>
      <w:pPr>
        <w:pStyle w:val="Acceptance"/>
      </w:pPr>
      <w:r>
        <w:rPr>
          <w:b/>
        </w:rPr>
        <w:t>CA-08 Requisito novo num executor antigo.</w:t>
      </w:r>
      <w:r>
        <w:t xml:space="preserve"> O executor recebe um plano com exigência obrigatória desconhecida. A tarefa é recusada antes de produzir efeitos. Normas: CON-005 e CON-006, VER-001 e VER-002.</w:t>
      </w:r>
      <w:bookmarkEnd w:id="147"/>
    </w:p>
    <w:p>
      <w:bookmarkStart w:id="148" w:name="CA_09"/>
      <w:pPr>
        <w:pStyle w:val="Acceptance"/>
      </w:pPr>
      <w:r>
        <w:rPr>
          <w:b/>
        </w:rPr>
        <w:t>CA-09 Prazo e cancelamento.</w:t>
      </w:r>
      <w:r>
        <w:t xml:space="preserve"> Uma operação remota excede o prazo. A interface distingue prazo expirado, pedido de cancelamento e confirmação de término. Efeitos já realizados permanecem identificáveis. Normas: CON-003, TAR-003, TAR-004 e TAR-007.</w:t>
      </w:r>
      <w:bookmarkEnd w:id="148"/>
    </w:p>
    <w:p>
      <w:bookmarkStart w:id="149" w:name="CA_10"/>
      <w:pPr>
        <w:pStyle w:val="Acceptance"/>
      </w:pPr>
      <w:r>
        <w:rPr>
          <w:b/>
        </w:rPr>
        <w:t>CA-10 Efeito externo incerto.</w:t>
      </w:r>
      <w:r>
        <w:t xml:space="preserve"> A ligação falha depois de um destino receber uma operação com efeito. O sistema usa deduplicação ou reconciliação; não a repete cegamente. Normas: TAR-002, TAR-004 a TAR-006.</w:t>
      </w:r>
      <w:bookmarkEnd w:id="149"/>
    </w:p>
    <w:p>
      <w:bookmarkStart w:id="150" w:name="CA_11"/>
      <w:pPr>
        <w:pStyle w:val="Acceptance"/>
      </w:pPr>
      <w:r>
        <w:rPr>
          <w:b/>
        </w:rPr>
        <w:t>CA-11 Falha de um adaptador.</w:t>
      </w:r>
      <w:r>
        <w:t xml:space="preserve"> Um processo de integração termina inesperadamente. O núcleo conserva identidade e estado, comunica a falha e reconcilia recursos e efeitos. Não declara sucesso sem evidência suficiente. Se a reconciliação comprovar o cumprimento do contrato, pode concluir a tarefa; enquanto houver incerteza, mantém reconciliação. Normas: CON-007 e CON-008, TAR-003, TAR-004 e TAR-011, INT-008.</w:t>
      </w:r>
      <w:bookmarkEnd w:id="150"/>
    </w:p>
    <w:p>
      <w:bookmarkStart w:id="151" w:name="CA_12"/>
      <w:pPr>
        <w:pStyle w:val="Acceptance"/>
      </w:pPr>
      <w:r>
        <w:rPr>
          <w:b/>
        </w:rPr>
        <w:t>CA-12 Checkpoint incompatível.</w:t>
      </w:r>
      <w:r>
        <w:t xml:space="preserve"> A retoma é tentada com motor ou esquema incompatível. O sistema rejeita a retoma com motivo e só aceita uma alternativa prevista. Normas: TAR-008, VER-002 e VER-005.</w:t>
      </w:r>
      <w:bookmarkEnd w:id="151"/>
    </w:p>
    <w:p>
      <w:bookmarkStart w:id="152" w:name="CA_13"/>
      <w:pPr>
        <w:pStyle w:val="Acceptance"/>
      </w:pPr>
      <w:r>
        <w:rPr>
          <w:b/>
        </w:rPr>
        <w:t>CA-13 Memória insuficiente.</w:t>
      </w:r>
      <w:r>
        <w:t xml:space="preserve"> O modelo cabe nos pesos anunciados, mas o contexto e os buffers excedem a capacidade admissível. A execução é recusada, adiada ou ajustada apenas segundo uma alternativa autorizada. Normas: DAD-006, REC-002 e REC-003.</w:t>
      </w:r>
      <w:bookmarkEnd w:id="152"/>
    </w:p>
    <w:p>
      <w:bookmarkStart w:id="153" w:name="CA_14"/>
      <w:pPr>
        <w:pStyle w:val="Acceptance"/>
      </w:pPr>
      <w:r>
        <w:rPr>
          <w:b/>
        </w:rPr>
        <w:t>CA-14 Memória em vários nós.</w:t>
      </w:r>
      <w:r>
        <w:t xml:space="preserve"> A soma da memória de dispositivos sem grupo validado parece suficiente. O sistema não a anuncia como capacidade conjunta utilizável. Normas: ARQ-006, DAD-008 e INT-009.</w:t>
      </w:r>
      <w:bookmarkEnd w:id="153"/>
    </w:p>
    <w:p>
      <w:bookmarkStart w:id="154" w:name="CA_15"/>
      <w:pPr>
        <w:pStyle w:val="Acceptance"/>
      </w:pPr>
      <w:r>
        <w:rPr>
          <w:b/>
        </w:rPr>
        <w:t>CA-15 Cache entre projetos.</w:t>
      </w:r>
      <w:r>
        <w:t xml:space="preserve"> Uma tarefa tenta reutilizar uma cache que contém dados não autorizados para o projeto. O acesso é impedido e a cache não revela conteúdo indevido. Normas: DAD-001, DAD-007 e GOV-005.</w:t>
      </w:r>
      <w:bookmarkEnd w:id="154"/>
    </w:p>
    <w:p>
      <w:bookmarkStart w:id="155" w:name="CA_16"/>
      <w:pPr>
        <w:pStyle w:val="Acceptance"/>
      </w:pPr>
      <w:r>
        <w:rPr>
          <w:b/>
        </w:rPr>
        <w:t>CA-16 Terminal suspenso.</w:t>
      </w:r>
      <w:r>
        <w:t xml:space="preserve"> Um terminal perde energia, ligação ou autorização de segundo plano. Quando possível, comunica a alteração. Sem essa comunicação, a coordenação deixa de considerar confirmada a disponibilidade após o prazo declarado. Só é recuperável o progresso previamente confirmado; a perda de ligação não prova que o trabalho terminou. Normas: PLT-006 e PLT-007, REC-006, TAR-009.</w:t>
      </w:r>
      <w:bookmarkEnd w:id="155"/>
    </w:p>
    <w:p>
      <w:bookmarkStart w:id="156" w:name="CA_17"/>
      <w:pPr>
        <w:pStyle w:val="Acceptance"/>
      </w:pPr>
      <w:r>
        <w:rPr>
          <w:b/>
        </w:rPr>
        <w:t>CA-17 Modelo remoto e ferramentas.</w:t>
      </w:r>
      <w:r>
        <w:t xml:space="preserve"> Uma API devolve um pedido de ferramenta. O pedido passa pela autorização local. Um limite de orçamento ou de exportação recusado impede novos pedidos abrangidos. Normas: INT-007, REC-007 e GOV-007.</w:t>
      </w:r>
      <w:bookmarkEnd w:id="156"/>
    </w:p>
    <w:p>
      <w:bookmarkStart w:id="157" w:name="CA_18"/>
      <w:pPr>
        <w:pStyle w:val="Acceptance"/>
      </w:pPr>
      <w:r>
        <w:rPr>
          <w:b/>
        </w:rPr>
        <w:t>CA-18 Atualização com estado.</w:t>
      </w:r>
      <w:r>
        <w:t xml:space="preserve"> Uma atualização altera o esquema persistente. O sistema verifica migração e só anuncia reversão quando o binário anterior compreende o estado recuperado. Normas: VER-001, VER-004 e VER-005.</w:t>
      </w:r>
      <w:bookmarkEnd w:id="157"/>
    </w:p>
    <w:p>
      <w:bookmarkStart w:id="158" w:name="CA_19"/>
      <w:pPr>
        <w:pStyle w:val="Acceptance"/>
      </w:pPr>
      <w:r>
        <w:rPr>
          <w:b/>
        </w:rPr>
        <w:t>CA-19 Terceiro backend.</w:t>
      </w:r>
      <w:r>
        <w:t xml:space="preserve"> Uma integração independente executa o mesmo contrato de tarefa, apresenta capacidades e erros próprios e passa os testes aplicáveis sem criar um dialeto da linguagem. Normas: PLT-009, INT-001 a INT-006 e VAL-005.</w:t>
      </w:r>
      <w:bookmarkEnd w:id="158"/>
    </w:p>
    <w:p>
      <w:bookmarkStart w:id="159" w:name="CA_20"/>
      <w:pPr>
        <w:pStyle w:val="Acceptance"/>
      </w:pPr>
      <w:r>
        <w:rPr>
          <w:b/>
        </w:rPr>
        <w:t>CA-20 Reprodução numérica.</w:t>
      </w:r>
      <w:r>
        <w:t xml:space="preserve"> A mesma tarefa corre em dois motores elegíveis. Os resultados são avaliados segundo identidade, tolerância ou qualidade declarada; diferenças são reportadas sem alegar equivalência inexistente. Normas: CON-010, DAD-003 e DAD-004, VAL-002 e VAL-003.</w:t>
      </w:r>
      <w:bookmarkEnd w:id="159"/>
    </w:p>
    <w:p>
      <w:bookmarkStart w:id="160" w:name="CA_21"/>
      <w:pPr>
        <w:pStyle w:val="Acceptance"/>
      </w:pPr>
      <w:r>
        <w:rPr>
          <w:b/>
        </w:rPr>
        <w:t>CA-21 Instalação em arquiteturas diferentes.</w:t>
      </w:r>
      <w:r>
        <w:t xml:space="preserve"> Pacotes de destinos distintos são identificados corretamente. Uma execução emulada não é confundida com uma nativa e a aceleração só é anunciada depois da verificação correspondente. Normas: PLT-001 a PLT-005 e PLT-008, DEV-007.</w:t>
      </w:r>
      <w:bookmarkEnd w:id="160"/>
    </w:p>
    <w:p>
      <w:bookmarkStart w:id="161" w:name="CA_22"/>
      <w:pPr>
        <w:pStyle w:val="Acceptance"/>
      </w:pPr>
      <w:r>
        <w:rPr>
          <w:b/>
        </w:rPr>
        <w:t>CA-22 Proteção da auditoria.</w:t>
      </w:r>
      <w:r>
        <w:t xml:space="preserve"> Um componente operacional tenta alterar evidência ou permissões da auditoria com as suas credenciais. A operação é recusada, não modifica o estado protegido e produz evidência verificável. Os limites relativos a administradores privilegiados constam do modelo de confiança. Normas: GOV-004, GOV-009 e TAR-010.</w:t>
      </w:r>
      <w:bookmarkEnd w:id="161"/>
    </w:p>
    <w:p>
      <w:bookmarkStart w:id="162" w:name="CA_23"/>
      <w:pPr>
        <w:pStyle w:val="Acceptance"/>
      </w:pPr>
      <w:r>
        <w:rPr>
          <w:b/>
        </w:rPr>
        <w:t>CA-23 Construção e atualização autênticas.</w:t>
      </w:r>
      <w:r>
        <w:t xml:space="preserve"> Uma distribuição é reconstruída num ambiente limpo e comparada segundo o nível de reprodução declarado. Um pacote alterado, de origem não autorizada ou proibido pela política de versão é recusado. Normas: BLD-001 a BLD-003, VER-003, VER-004 e VER-009.</w:t>
      </w:r>
      <w:bookmarkEnd w:id="162"/>
    </w:p>
    <w:p>
      <w:bookmarkStart w:id="163" w:name="CA_24"/>
      <w:pPr>
        <w:pStyle w:val="Acceptance"/>
      </w:pPr>
      <w:r>
        <w:rPr>
          <w:b/>
        </w:rPr>
        <w:t>CA-24 Nó não autenticado.</w:t>
      </w:r>
      <w:r>
        <w:t xml:space="preserve"> Um processo apresenta o nome de um nó válido sem provar a identidade correspondente. A ligação não recebe a autoridade desse nó e não obtém dados privados. Os diagnósticos não expõem credenciais. Normas: GOV-008 e GOV-009, DEV-002 e DEV-005.</w:t>
      </w:r>
      <w:bookmarkEnd w:id="163"/>
    </w:p>
    <w:p>
      <w:bookmarkStart w:id="164" w:name="chapter_16"/>
      <w:pPr>
        <w:pStyle w:val="Heading1"/>
      </w:pPr>
      <w:r>
        <w:t>16 Etapas de criação e decisões pendentes</w:t>
      </w:r>
      <w:bookmarkEnd w:id="164"/>
    </w:p>
    <w:p>
      <w:r>
        <w:t>O desenvolvimento deve avançar por critérios de saída. As etapas não constituem um calendário nem uma estimativa de esforço.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2477"/>
        <w:gridCol w:w="3283"/>
        <w:gridCol w:w="4118"/>
      </w:tblGrid>
      <w:tr>
        <w:trPr>
          <w:cantSplit/>
          <w:tblHeader w:val="true"/>
        </w:trPr>
        <w:tc>
          <w:tcPr>
            <w:tcW w:type="dxa" w:w="2477"/>
            <w:vAlign w:val="center"/>
            <w:shd w:fill="26313D" w:val="clear"/>
          </w:tcPr>
          <w:p>
            <w:pPr>
              <w:pStyle w:val="Tabletext"/>
            </w:pPr>
            <w:r>
              <w:rPr>
                <w:b/>
                <w:color w:val="FFFFFF"/>
              </w:rPr>
              <w:t>Etapa</w:t>
            </w:r>
          </w:p>
        </w:tc>
        <w:tc>
          <w:tcPr>
            <w:tcW w:type="dxa" w:w="3283"/>
            <w:vAlign w:val="center"/>
            <w:shd w:fill="26313D" w:val="clear"/>
          </w:tcPr>
          <w:p>
            <w:pPr>
              <w:pStyle w:val="Tabletext"/>
            </w:pPr>
            <w:r>
              <w:rPr>
                <w:b/>
                <w:color w:val="FFFFFF"/>
              </w:rPr>
              <w:t>Entregáveis</w:t>
            </w:r>
          </w:p>
        </w:tc>
        <w:tc>
          <w:tcPr>
            <w:tcW w:type="dxa" w:w="4118"/>
            <w:vAlign w:val="center"/>
            <w:shd w:fill="26313D" w:val="clear"/>
          </w:tcPr>
          <w:p>
            <w:pPr>
              <w:pStyle w:val="Tabletext"/>
            </w:pPr>
            <w:r>
              <w:rPr>
                <w:b/>
                <w:color w:val="FFFFFF"/>
              </w:rPr>
              <w:t>Critério de saída</w:t>
            </w:r>
          </w:p>
        </w:tc>
      </w:tr>
      <w:tr>
        <w:trPr>
          <w:cantSplit/>
        </w:trPr>
        <w:tc>
          <w:tcPr>
            <w:tcW w:type="dxa" w:w="2477"/>
            <w:vAlign w:val="center"/>
            <w:shd w:fill="FFFFFF" w:val="clear"/>
          </w:tcPr>
          <w:p>
            <w:pPr>
              <w:pStyle w:val="Tabletext"/>
            </w:pPr>
            <w:r>
              <w:t>E0 Especificação</w:t>
            </w:r>
          </w:p>
        </w:tc>
        <w:tc>
          <w:tcPr>
            <w:tcW w:type="dxa" w:w="3283"/>
            <w:vAlign w:val="center"/>
            <w:shd w:fill="FFFFFF" w:val="clear"/>
          </w:tcPr>
          <w:p>
            <w:pPr>
              <w:pStyle w:val="Tabletext"/>
            </w:pPr>
            <w:r>
              <w:t>Vocabulário contratos perfis ADR e cenários</w:t>
            </w:r>
          </w:p>
        </w:tc>
        <w:tc>
          <w:tcPr>
            <w:tcW w:type="dxa" w:w="4118"/>
            <w:vAlign w:val="center"/>
            <w:shd w:fill="FFFFFF" w:val="clear"/>
          </w:tcPr>
          <w:p>
            <w:pPr>
              <w:pStyle w:val="Tabletext"/>
            </w:pPr>
            <w:r>
              <w:t>Escopo inicial definido e requisitos rastreáveis</w:t>
            </w:r>
          </w:p>
        </w:tc>
      </w:tr>
      <w:tr>
        <w:trPr>
          <w:cantSplit/>
        </w:trPr>
        <w:tc>
          <w:tcPr>
            <w:tcW w:type="dxa" w:w="2477"/>
            <w:vAlign w:val="center"/>
            <w:shd w:fill="F2F5F7" w:val="clear"/>
          </w:tcPr>
          <w:p>
            <w:pPr>
              <w:pStyle w:val="Tabletext"/>
            </w:pPr>
            <w:r>
              <w:t>E1 Execução mínima</w:t>
            </w:r>
          </w:p>
        </w:tc>
        <w:tc>
          <w:tcPr>
            <w:tcW w:type="dxa" w:w="3283"/>
            <w:vAlign w:val="center"/>
            <w:shd w:fill="F2F5F7" w:val="clear"/>
          </w:tcPr>
          <w:p>
            <w:pPr>
              <w:pStyle w:val="Tabletext"/>
            </w:pPr>
            <w:r>
              <w:t>SDK plano verificável executor e diagnóstico</w:t>
            </w:r>
          </w:p>
        </w:tc>
        <w:tc>
          <w:tcPr>
            <w:tcW w:type="dxa" w:w="4118"/>
            <w:vAlign w:val="center"/>
            <w:shd w:fill="F2F5F7" w:val="clear"/>
          </w:tcPr>
          <w:p>
            <w:pPr>
              <w:pStyle w:val="Tabletext"/>
            </w:pPr>
            <w:r>
              <w:t>Fluxo local completo com validação e falhas</w:t>
            </w:r>
          </w:p>
        </w:tc>
      </w:tr>
      <w:tr>
        <w:trPr>
          <w:cantSplit/>
        </w:trPr>
        <w:tc>
          <w:tcPr>
            <w:tcW w:type="dxa" w:w="2477"/>
            <w:vAlign w:val="center"/>
            <w:shd w:fill="FFFFFF" w:val="clear"/>
          </w:tcPr>
          <w:p>
            <w:pPr>
              <w:pStyle w:val="Tabletext"/>
            </w:pPr>
            <w:r>
              <w:t>E2 Referência distribuída</w:t>
            </w:r>
          </w:p>
        </w:tc>
        <w:tc>
          <w:tcPr>
            <w:tcW w:type="dxa" w:w="3283"/>
            <w:vAlign w:val="center"/>
            <w:shd w:fill="FFFFFF" w:val="clear"/>
          </w:tcPr>
          <w:p>
            <w:pPr>
              <w:pStyle w:val="Tabletext"/>
            </w:pPr>
            <w:r>
              <w:t>Integrações Mac e NVIDIA e controlo comum</w:t>
            </w:r>
          </w:p>
        </w:tc>
        <w:tc>
          <w:tcPr>
            <w:tcW w:type="dxa" w:w="4118"/>
            <w:vAlign w:val="center"/>
            <w:shd w:fill="FFFFFF" w:val="clear"/>
          </w:tcPr>
          <w:p>
            <w:pPr>
              <w:pStyle w:val="Tabletext"/>
            </w:pPr>
            <w:r>
              <w:t>Fluxos entre destinos com políticas e recuperação</w:t>
            </w:r>
          </w:p>
        </w:tc>
      </w:tr>
      <w:tr>
        <w:trPr>
          <w:cantSplit/>
        </w:trPr>
        <w:tc>
          <w:tcPr>
            <w:tcW w:type="dxa" w:w="2477"/>
            <w:vAlign w:val="center"/>
            <w:shd w:fill="F2F5F7" w:val="clear"/>
          </w:tcPr>
          <w:p>
            <w:pPr>
              <w:pStyle w:val="Tabletext"/>
            </w:pPr>
            <w:r>
              <w:t>E3 Extensibilidade</w:t>
            </w:r>
          </w:p>
        </w:tc>
        <w:tc>
          <w:tcPr>
            <w:tcW w:type="dxa" w:w="3283"/>
            <w:vAlign w:val="center"/>
            <w:shd w:fill="F2F5F7" w:val="clear"/>
          </w:tcPr>
          <w:p>
            <w:pPr>
              <w:pStyle w:val="Tabletext"/>
            </w:pPr>
            <w:r>
              <w:t>Terceiro backend e SDK de terceiros</w:t>
            </w:r>
          </w:p>
        </w:tc>
        <w:tc>
          <w:tcPr>
            <w:tcW w:type="dxa" w:w="4118"/>
            <w:vAlign w:val="center"/>
            <w:shd w:fill="F2F5F7" w:val="clear"/>
          </w:tcPr>
          <w:p>
            <w:pPr>
              <w:pStyle w:val="Tabletext"/>
            </w:pPr>
            <w:r>
              <w:t>CA-19 e conformidade aplicável demonstrados</w:t>
            </w:r>
          </w:p>
        </w:tc>
      </w:tr>
      <w:tr>
        <w:trPr>
          <w:cantSplit/>
        </w:trPr>
        <w:tc>
          <w:tcPr>
            <w:tcW w:type="dxa" w:w="2477"/>
            <w:vAlign w:val="center"/>
            <w:shd w:fill="FFFFFF" w:val="clear"/>
          </w:tcPr>
          <w:p>
            <w:pPr>
              <w:pStyle w:val="Tabletext"/>
            </w:pPr>
            <w:r>
              <w:t>E4 Linguagem própria</w:t>
            </w:r>
          </w:p>
        </w:tc>
        <w:tc>
          <w:tcPr>
            <w:tcW w:type="dxa" w:w="3283"/>
            <w:vAlign w:val="center"/>
            <w:shd w:fill="FFFFFF" w:val="clear"/>
          </w:tcPr>
          <w:p>
            <w:pPr>
              <w:pStyle w:val="Tabletext"/>
            </w:pPr>
            <w:r>
              <w:t>Gramática frontend ferramentas e migração</w:t>
            </w:r>
          </w:p>
        </w:tc>
        <w:tc>
          <w:tcPr>
            <w:tcW w:type="dxa" w:w="4118"/>
            <w:vAlign w:val="center"/>
            <w:shd w:fill="FFFFFF" w:val="clear"/>
          </w:tcPr>
          <w:p>
            <w:pPr>
              <w:pStyle w:val="Tabletext"/>
            </w:pPr>
            <w:r>
              <w:t>Programas e planos equivalentes nos casos de referência</w:t>
            </w:r>
          </w:p>
        </w:tc>
      </w:tr>
      <w:tr>
        <w:trPr>
          <w:cantSplit/>
        </w:trPr>
        <w:tc>
          <w:tcPr>
            <w:tcW w:type="dxa" w:w="2477"/>
            <w:vAlign w:val="center"/>
            <w:shd w:fill="F2F5F7" w:val="clear"/>
          </w:tcPr>
          <w:p>
            <w:pPr>
              <w:pStyle w:val="Tabletext"/>
            </w:pPr>
            <w:r>
              <w:t>E5 Ampliação</w:t>
            </w:r>
          </w:p>
        </w:tc>
        <w:tc>
          <w:tcPr>
            <w:tcW w:type="dxa" w:w="3283"/>
            <w:vAlign w:val="center"/>
            <w:shd w:fill="F2F5F7" w:val="clear"/>
          </w:tcPr>
          <w:p>
            <w:pPr>
              <w:pStyle w:val="Tabletext"/>
            </w:pPr>
            <w:r>
              <w:t>Novos sistemas aceleradores e otimizações</w:t>
            </w:r>
          </w:p>
        </w:tc>
        <w:tc>
          <w:tcPr>
            <w:tcW w:type="dxa" w:w="4118"/>
            <w:vAlign w:val="center"/>
            <w:shd w:fill="F2F5F7" w:val="clear"/>
          </w:tcPr>
          <w:p>
            <w:pPr>
              <w:pStyle w:val="Tabletext"/>
            </w:pPr>
            <w:r>
              <w:t>Perfis qualificados e evidência publicada</w:t>
            </w:r>
          </w:p>
        </w:tc>
      </w:tr>
    </w:tbl>
    <w:p>
      <w:pPr>
        <w:spacing w:after="20" w:before="0" w:line="60" w:lineRule="exact"/>
      </w:pPr>
      <w:r>
        <w:rPr>
          <w:sz w:val="6"/>
        </w:rPr>
      </w:r>
    </w:p>
    <w:p>
      <w:bookmarkStart w:id="165" w:name="EVO_001"/>
      <w:pPr>
        <w:pStyle w:val="Requirement"/>
      </w:pPr>
      <w:r>
        <w:rPr>
          <w:b/>
        </w:rPr>
        <w:t>EVO-001 Entregas verticais.</w:t>
      </w:r>
      <w:r>
        <w:t xml:space="preserve"> Cada etapa de implementação, a partir de E1, DEVE produzir pelo menos um fluxo utilizável de ponta a ponta, com erros e limitações observáveis. E0 DEVE produzir cenários completos especificados e rastreáveis aos requisitos. A etapa seguinte NÃO DEVE depender de anunciar como estáveis capacidades ainda não verificadas.</w:t>
      </w:r>
      <w:bookmarkEnd w:id="165"/>
    </w:p>
    <w:p>
      <w:bookmarkStart w:id="166" w:name="EVO_002"/>
      <w:pPr>
        <w:pStyle w:val="Requirement"/>
      </w:pPr>
      <w:r>
        <w:rPr>
          <w:b/>
        </w:rPr>
        <w:t>EVO-002 Gramática posterior.</w:t>
      </w:r>
      <w:r>
        <w:t xml:space="preserve"> A gramática e as ferramentas próprias DEVEM preservar os contratos validados no protótipo ou documentar a migração. A criação de sintaxe não deve ocultar alterações de semântica.</w:t>
      </w:r>
      <w:bookmarkEnd w:id="166"/>
    </w:p>
    <w:p>
      <w:bookmarkStart w:id="167" w:name="EVO_003"/>
      <w:pPr>
        <w:pStyle w:val="Requirement"/>
      </w:pPr>
      <w:r>
        <w:rPr>
          <w:b/>
        </w:rPr>
        <w:t>EVO-003 Escolhas pendentes.</w:t>
      </w:r>
      <w:r>
        <w:t xml:space="preserve"> Cada decisão pendente DEVE ter responsável, momento de resolução e registo de decisão. Escolhas que afetem utilizadores ou extensões DEVEM ser estabilizadas antes de promessas de compatibilidade pública.</w:t>
      </w:r>
      <w:bookmarkEnd w:id="167"/>
    </w:p>
    <w:p>
      <w:pPr>
        <w:pStyle w:val="Heading2"/>
      </w:pPr>
      <w:r>
        <w:t>Registo inicial de decisões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2477"/>
        <w:gridCol w:w="3283"/>
        <w:gridCol w:w="4118"/>
      </w:tblGrid>
      <w:tr>
        <w:trPr>
          <w:cantSplit/>
          <w:tblHeader w:val="true"/>
        </w:trPr>
        <w:tc>
          <w:tcPr>
            <w:tcW w:type="dxa" w:w="2477"/>
            <w:vAlign w:val="center"/>
            <w:shd w:fill="26313D" w:val="clear"/>
          </w:tcPr>
          <w:p>
            <w:pPr>
              <w:pStyle w:val="Tabletext"/>
            </w:pPr>
            <w:r>
              <w:rPr>
                <w:b/>
                <w:color w:val="FFFFFF"/>
              </w:rPr>
              <w:t>Decisão</w:t>
            </w:r>
          </w:p>
        </w:tc>
        <w:tc>
          <w:tcPr>
            <w:tcW w:type="dxa" w:w="3283"/>
            <w:vAlign w:val="center"/>
            <w:shd w:fill="26313D" w:val="clear"/>
          </w:tcPr>
          <w:p>
            <w:pPr>
              <w:pStyle w:val="Tabletext"/>
            </w:pPr>
            <w:r>
              <w:rPr>
                <w:b/>
                <w:color w:val="FFFFFF"/>
              </w:rPr>
              <w:t>Estado nesta revisão</w:t>
            </w:r>
          </w:p>
        </w:tc>
        <w:tc>
          <w:tcPr>
            <w:tcW w:type="dxa" w:w="4118"/>
            <w:vAlign w:val="center"/>
            <w:shd w:fill="26313D" w:val="clear"/>
          </w:tcPr>
          <w:p>
            <w:pPr>
              <w:pStyle w:val="Tabletext"/>
            </w:pPr>
            <w:r>
              <w:rPr>
                <w:b/>
                <w:color w:val="FFFFFF"/>
              </w:rPr>
              <w:t>Momento de resolução</w:t>
            </w:r>
          </w:p>
        </w:tc>
      </w:tr>
      <w:tr>
        <w:trPr>
          <w:cantSplit/>
        </w:trPr>
        <w:tc>
          <w:tcPr>
            <w:tcW w:type="dxa" w:w="2477"/>
            <w:vAlign w:val="center"/>
            <w:shd w:fill="FFFFFF" w:val="clear"/>
          </w:tcPr>
          <w:p>
            <w:pPr>
              <w:pStyle w:val="Tabletext"/>
            </w:pPr>
            <w:r>
              <w:t>Nome TriX e referência no feminino</w:t>
            </w:r>
          </w:p>
        </w:tc>
        <w:tc>
          <w:tcPr>
            <w:tcW w:type="dxa" w:w="3283"/>
            <w:vAlign w:val="center"/>
            <w:shd w:fill="FFFFFF" w:val="clear"/>
          </w:tcPr>
          <w:p>
            <w:pPr>
              <w:pStyle w:val="Tabletext"/>
            </w:pPr>
            <w:r>
              <w:t>Definido pelo proponente</w:t>
            </w:r>
          </w:p>
        </w:tc>
        <w:tc>
          <w:tcPr>
            <w:tcW w:type="dxa" w:w="4118"/>
            <w:vAlign w:val="center"/>
            <w:shd w:fill="FFFFFF" w:val="clear"/>
          </w:tcPr>
          <w:p>
            <w:pPr>
              <w:pStyle w:val="Tabletext"/>
            </w:pPr>
            <w:r>
              <w:t>Aplicação imediata</w:t>
            </w:r>
          </w:p>
        </w:tc>
      </w:tr>
      <w:tr>
        <w:trPr>
          <w:cantSplit/>
        </w:trPr>
        <w:tc>
          <w:tcPr>
            <w:tcW w:type="dxa" w:w="2477"/>
            <w:vAlign w:val="center"/>
            <w:shd w:fill="F2F5F7" w:val="clear"/>
          </w:tcPr>
          <w:p>
            <w:pPr>
              <w:pStyle w:val="Tabletext"/>
            </w:pPr>
            <w:r>
              <w:t>Abertura a vários fornecedores e plataformas</w:t>
            </w:r>
          </w:p>
        </w:tc>
        <w:tc>
          <w:tcPr>
            <w:tcW w:type="dxa" w:w="3283"/>
            <w:vAlign w:val="center"/>
            <w:shd w:fill="F2F5F7" w:val="clear"/>
          </w:tcPr>
          <w:p>
            <w:pPr>
              <w:pStyle w:val="Tabletext"/>
            </w:pPr>
            <w:r>
              <w:t>Objetivo definido</w:t>
            </w:r>
          </w:p>
        </w:tc>
        <w:tc>
          <w:tcPr>
            <w:tcW w:type="dxa" w:w="4118"/>
            <w:vAlign w:val="center"/>
            <w:shd w:fill="F2F5F7" w:val="clear"/>
          </w:tcPr>
          <w:p>
            <w:pPr>
              <w:pStyle w:val="Tabletext"/>
            </w:pPr>
            <w:r>
              <w:t>Obrigação arquitetural desde E0</w:t>
            </w:r>
          </w:p>
        </w:tc>
      </w:tr>
      <w:tr>
        <w:trPr>
          <w:cantSplit/>
        </w:trPr>
        <w:tc>
          <w:tcPr>
            <w:tcW w:type="dxa" w:w="2477"/>
            <w:vAlign w:val="center"/>
            <w:shd w:fill="FFFFFF" w:val="clear"/>
          </w:tcPr>
          <w:p>
            <w:pPr>
              <w:pStyle w:val="Tabletext"/>
            </w:pPr>
            <w:r>
              <w:t>Mac e NVIDIA como referência inicial</w:t>
            </w:r>
          </w:p>
        </w:tc>
        <w:tc>
          <w:tcPr>
            <w:tcW w:type="dxa" w:w="3283"/>
            <w:vAlign w:val="center"/>
            <w:shd w:fill="FFFFFF" w:val="clear"/>
          </w:tcPr>
          <w:p>
            <w:pPr>
              <w:pStyle w:val="Tabletext"/>
            </w:pPr>
            <w:r>
              <w:t>Configuração de trabalho</w:t>
            </w:r>
          </w:p>
        </w:tc>
        <w:tc>
          <w:tcPr>
            <w:tcW w:type="dxa" w:w="4118"/>
            <w:vAlign w:val="center"/>
            <w:shd w:fill="FFFFFF" w:val="clear"/>
          </w:tcPr>
          <w:p>
            <w:pPr>
              <w:pStyle w:val="Tabletext"/>
            </w:pPr>
            <w:r>
              <w:t>Fixar equipamentos e stacks em E0</w:t>
            </w:r>
          </w:p>
        </w:tc>
      </w:tr>
      <w:tr>
        <w:trPr>
          <w:cantSplit/>
        </w:trPr>
        <w:tc>
          <w:tcPr>
            <w:tcW w:type="dxa" w:w="2477"/>
            <w:vAlign w:val="center"/>
            <w:shd w:fill="F2F5F7" w:val="clear"/>
          </w:tcPr>
          <w:p>
            <w:pPr>
              <w:pStyle w:val="Tabletext"/>
            </w:pPr>
            <w:r>
              <w:t>Interação coordenação e execução como papéis lógicos</w:t>
            </w:r>
          </w:p>
        </w:tc>
        <w:tc>
          <w:tcPr>
            <w:tcW w:type="dxa" w:w="3283"/>
            <w:vAlign w:val="center"/>
            <w:shd w:fill="F2F5F7" w:val="clear"/>
          </w:tcPr>
          <w:p>
            <w:pPr>
              <w:pStyle w:val="Tabletext"/>
            </w:pPr>
            <w:r>
              <w:t>Proposta desta revisão</w:t>
            </w:r>
          </w:p>
        </w:tc>
        <w:tc>
          <w:tcPr>
            <w:tcW w:type="dxa" w:w="4118"/>
            <w:vAlign w:val="center"/>
            <w:shd w:fill="F2F5F7" w:val="clear"/>
          </w:tcPr>
          <w:p>
            <w:pPr>
              <w:pStyle w:val="Tabletext"/>
            </w:pPr>
            <w:r>
              <w:t>Adoção da arquitetura em E0</w:t>
            </w:r>
          </w:p>
        </w:tc>
      </w:tr>
      <w:tr>
        <w:trPr>
          <w:cantSplit/>
        </w:trPr>
        <w:tc>
          <w:tcPr>
            <w:tcW w:type="dxa" w:w="2477"/>
            <w:vAlign w:val="center"/>
            <w:shd w:fill="FFFFFF" w:val="clear"/>
          </w:tcPr>
          <w:p>
            <w:pPr>
              <w:pStyle w:val="Tabletext"/>
            </w:pPr>
            <w:r>
              <w:t>Gramática palavras-chave e extensão dos ficheiros</w:t>
            </w:r>
          </w:p>
        </w:tc>
        <w:tc>
          <w:tcPr>
            <w:tcW w:type="dxa" w:w="3283"/>
            <w:vAlign w:val="center"/>
            <w:shd w:fill="FFFFFF" w:val="clear"/>
          </w:tcPr>
          <w:p>
            <w:pPr>
              <w:pStyle w:val="Tabletext"/>
            </w:pPr>
            <w:r>
              <w:t>Pendente</w:t>
            </w:r>
          </w:p>
        </w:tc>
        <w:tc>
          <w:tcPr>
            <w:tcW w:type="dxa" w:w="4118"/>
            <w:vAlign w:val="center"/>
            <w:shd w:fill="FFFFFF" w:val="clear"/>
          </w:tcPr>
          <w:p>
            <w:pPr>
              <w:pStyle w:val="Tabletext"/>
            </w:pPr>
            <w:r>
              <w:t>Antes de estabilizar E4</w:t>
            </w:r>
          </w:p>
        </w:tc>
      </w:tr>
      <w:tr>
        <w:trPr>
          <w:cantSplit/>
        </w:trPr>
        <w:tc>
          <w:tcPr>
            <w:tcW w:type="dxa" w:w="2477"/>
            <w:vAlign w:val="center"/>
            <w:shd w:fill="F2F5F7" w:val="clear"/>
          </w:tcPr>
          <w:p>
            <w:pPr>
              <w:pStyle w:val="Tabletext"/>
            </w:pPr>
            <w:r>
              <w:t>Sistema concreto de propriedade e valores dinâmicos</w:t>
            </w:r>
          </w:p>
        </w:tc>
        <w:tc>
          <w:tcPr>
            <w:tcW w:type="dxa" w:w="3283"/>
            <w:vAlign w:val="center"/>
            <w:shd w:fill="F2F5F7" w:val="clear"/>
          </w:tcPr>
          <w:p>
            <w:pPr>
              <w:pStyle w:val="Tabletext"/>
            </w:pPr>
            <w:r>
              <w:t>Pendente</w:t>
            </w:r>
          </w:p>
        </w:tc>
        <w:tc>
          <w:tcPr>
            <w:tcW w:type="dxa" w:w="4118"/>
            <w:vAlign w:val="center"/>
            <w:shd w:fill="F2F5F7" w:val="clear"/>
          </w:tcPr>
          <w:p>
            <w:pPr>
              <w:pStyle w:val="Tabletext"/>
            </w:pPr>
            <w:r>
              <w:t>Antes de estabilizar as garantias da linguagem</w:t>
            </w:r>
          </w:p>
        </w:tc>
      </w:tr>
      <w:tr>
        <w:trPr>
          <w:cantSplit/>
        </w:trPr>
        <w:tc>
          <w:tcPr>
            <w:tcW w:type="dxa" w:w="2477"/>
            <w:vAlign w:val="center"/>
            <w:shd w:fill="FFFFFF" w:val="clear"/>
          </w:tcPr>
          <w:p>
            <w:pPr>
              <w:pStyle w:val="Tabletext"/>
            </w:pPr>
            <w:r>
              <w:t>Formato do plano e transporte entre componentes</w:t>
            </w:r>
          </w:p>
        </w:tc>
        <w:tc>
          <w:tcPr>
            <w:tcW w:type="dxa" w:w="3283"/>
            <w:vAlign w:val="center"/>
            <w:shd w:fill="FFFFFF" w:val="clear"/>
          </w:tcPr>
          <w:p>
            <w:pPr>
              <w:pStyle w:val="Tabletext"/>
            </w:pPr>
            <w:r>
              <w:t>Pendente</w:t>
            </w:r>
          </w:p>
        </w:tc>
        <w:tc>
          <w:tcPr>
            <w:tcW w:type="dxa" w:w="4118"/>
            <w:vAlign w:val="center"/>
            <w:shd w:fill="FFFFFF" w:val="clear"/>
          </w:tcPr>
          <w:p>
            <w:pPr>
              <w:pStyle w:val="Tabletext"/>
            </w:pPr>
            <w:r>
              <w:t>Antes de estabilizar E1 e E2</w:t>
            </w:r>
          </w:p>
        </w:tc>
      </w:tr>
      <w:tr>
        <w:trPr>
          <w:cantSplit/>
        </w:trPr>
        <w:tc>
          <w:tcPr>
            <w:tcW w:type="dxa" w:w="2477"/>
            <w:vAlign w:val="center"/>
            <w:shd w:fill="F2F5F7" w:val="clear"/>
          </w:tcPr>
          <w:p>
            <w:pPr>
              <w:pStyle w:val="Tabletext"/>
            </w:pPr>
            <w:r>
              <w:t>Licença do núcleo SDK e especificação</w:t>
            </w:r>
          </w:p>
        </w:tc>
        <w:tc>
          <w:tcPr>
            <w:tcW w:type="dxa" w:w="3283"/>
            <w:vAlign w:val="center"/>
            <w:shd w:fill="F2F5F7" w:val="clear"/>
          </w:tcPr>
          <w:p>
            <w:pPr>
              <w:pStyle w:val="Tabletext"/>
            </w:pPr>
            <w:r>
              <w:t>Pendente</w:t>
            </w:r>
          </w:p>
        </w:tc>
        <w:tc>
          <w:tcPr>
            <w:tcW w:type="dxa" w:w="4118"/>
            <w:vAlign w:val="center"/>
            <w:shd w:fill="F2F5F7" w:val="clear"/>
          </w:tcPr>
          <w:p>
            <w:pPr>
              <w:pStyle w:val="Tabletext"/>
            </w:pPr>
            <w:r>
              <w:t>Antes da distribuição pública</w:t>
            </w:r>
          </w:p>
        </w:tc>
      </w:tr>
      <w:tr>
        <w:trPr>
          <w:cantSplit/>
        </w:trPr>
        <w:tc>
          <w:tcPr>
            <w:tcW w:type="dxa" w:w="2477"/>
            <w:vAlign w:val="center"/>
            <w:shd w:fill="FFFFFF" w:val="clear"/>
          </w:tcPr>
          <w:p>
            <w:pPr>
              <w:pStyle w:val="Tabletext"/>
            </w:pPr>
            <w:r>
              <w:t>Registo de pacotes e política de confiança</w:t>
            </w:r>
          </w:p>
        </w:tc>
        <w:tc>
          <w:tcPr>
            <w:tcW w:type="dxa" w:w="3283"/>
            <w:vAlign w:val="center"/>
            <w:shd w:fill="FFFFFF" w:val="clear"/>
          </w:tcPr>
          <w:p>
            <w:pPr>
              <w:pStyle w:val="Tabletext"/>
            </w:pPr>
            <w:r>
              <w:t>Pendente</w:t>
            </w:r>
          </w:p>
        </w:tc>
        <w:tc>
          <w:tcPr>
            <w:tcW w:type="dxa" w:w="4118"/>
            <w:vAlign w:val="center"/>
            <w:shd w:fill="FFFFFF" w:val="clear"/>
          </w:tcPr>
          <w:p>
            <w:pPr>
              <w:pStyle w:val="Tabletext"/>
            </w:pPr>
            <w:r>
              <w:t>Antes da distribuição de extensões</w:t>
            </w:r>
          </w:p>
        </w:tc>
      </w:tr>
      <w:tr>
        <w:trPr>
          <w:cantSplit/>
        </w:trPr>
        <w:tc>
          <w:tcPr>
            <w:tcW w:type="dxa" w:w="2477"/>
            <w:vAlign w:val="center"/>
            <w:shd w:fill="F2F5F7" w:val="clear"/>
          </w:tcPr>
          <w:p>
            <w:pPr>
              <w:pStyle w:val="Tabletext"/>
            </w:pPr>
            <w:r>
              <w:t>Janela de versões simultaneamente suportadas</w:t>
            </w:r>
          </w:p>
        </w:tc>
        <w:tc>
          <w:tcPr>
            <w:tcW w:type="dxa" w:w="3283"/>
            <w:vAlign w:val="center"/>
            <w:shd w:fill="F2F5F7" w:val="clear"/>
          </w:tcPr>
          <w:p>
            <w:pPr>
              <w:pStyle w:val="Tabletext"/>
            </w:pPr>
            <w:r>
              <w:t>Pendente</w:t>
            </w:r>
          </w:p>
        </w:tc>
        <w:tc>
          <w:tcPr>
            <w:tcW w:type="dxa" w:w="4118"/>
            <w:vAlign w:val="center"/>
            <w:shd w:fill="F2F5F7" w:val="clear"/>
          </w:tcPr>
          <w:p>
            <w:pPr>
              <w:pStyle w:val="Tabletext"/>
            </w:pPr>
            <w:r>
              <w:t>Antes da primeira publicação estável</w:t>
            </w:r>
          </w:p>
        </w:tc>
      </w:tr>
      <w:tr>
        <w:trPr>
          <w:cantSplit/>
        </w:trPr>
        <w:tc>
          <w:tcPr>
            <w:tcW w:type="dxa" w:w="2477"/>
            <w:vAlign w:val="center"/>
            <w:shd w:fill="FFFFFF" w:val="clear"/>
          </w:tcPr>
          <w:p>
            <w:pPr>
              <w:pStyle w:val="Tabletext"/>
            </w:pPr>
            <w:r>
              <w:t>Versões mínimas e hardware de referência</w:t>
            </w:r>
          </w:p>
        </w:tc>
        <w:tc>
          <w:tcPr>
            <w:tcW w:type="dxa" w:w="3283"/>
            <w:vAlign w:val="center"/>
            <w:shd w:fill="FFFFFF" w:val="clear"/>
          </w:tcPr>
          <w:p>
            <w:pPr>
              <w:pStyle w:val="Tabletext"/>
            </w:pPr>
            <w:r>
              <w:t>Pendente por perfil</w:t>
            </w:r>
          </w:p>
        </w:tc>
        <w:tc>
          <w:tcPr>
            <w:tcW w:type="dxa" w:w="4118"/>
            <w:vAlign w:val="center"/>
            <w:shd w:fill="FFFFFF" w:val="clear"/>
          </w:tcPr>
          <w:p>
            <w:pPr>
              <w:pStyle w:val="Tabletext"/>
            </w:pPr>
            <w:r>
              <w:t>Antes da qualificação desse perfil</w:t>
            </w:r>
          </w:p>
        </w:tc>
      </w:tr>
      <w:tr>
        <w:trPr>
          <w:cantSplit/>
        </w:trPr>
        <w:tc>
          <w:tcPr>
            <w:tcW w:type="dxa" w:w="2477"/>
            <w:vAlign w:val="center"/>
            <w:shd w:fill="F2F5F7" w:val="clear"/>
          </w:tcPr>
          <w:p>
            <w:pPr>
              <w:pStyle w:val="Tabletext"/>
            </w:pPr>
            <w:r>
              <w:t>Metas de desempenho recuperação e qualidade</w:t>
            </w:r>
          </w:p>
        </w:tc>
        <w:tc>
          <w:tcPr>
            <w:tcW w:type="dxa" w:w="3283"/>
            <w:vAlign w:val="center"/>
            <w:shd w:fill="F2F5F7" w:val="clear"/>
          </w:tcPr>
          <w:p>
            <w:pPr>
              <w:pStyle w:val="Tabletext"/>
            </w:pPr>
            <w:r>
              <w:t>Pendente por classe de tarefa</w:t>
            </w:r>
          </w:p>
        </w:tc>
        <w:tc>
          <w:tcPr>
            <w:tcW w:type="dxa" w:w="4118"/>
            <w:vAlign w:val="center"/>
            <w:shd w:fill="F2F5F7" w:val="clear"/>
          </w:tcPr>
          <w:p>
            <w:pPr>
              <w:pStyle w:val="Tabletext"/>
            </w:pPr>
            <w:r>
              <w:t>Antes de cada aceitação operacional</w:t>
            </w:r>
          </w:p>
        </w:tc>
      </w:tr>
      <w:tr>
        <w:trPr>
          <w:cantSplit/>
        </w:trPr>
        <w:tc>
          <w:tcPr>
            <w:tcW w:type="dxa" w:w="2477"/>
            <w:vAlign w:val="center"/>
            <w:shd w:fill="FFFFFF" w:val="clear"/>
          </w:tcPr>
          <w:p>
            <w:pPr>
              <w:pStyle w:val="Tabletext"/>
            </w:pPr>
            <w:r>
              <w:t>Primeiro fornecedor adicional</w:t>
            </w:r>
          </w:p>
        </w:tc>
        <w:tc>
          <w:tcPr>
            <w:tcW w:type="dxa" w:w="3283"/>
            <w:vAlign w:val="center"/>
            <w:shd w:fill="FFFFFF" w:val="clear"/>
          </w:tcPr>
          <w:p>
            <w:pPr>
              <w:pStyle w:val="Tabletext"/>
            </w:pPr>
            <w:r>
              <w:t>Pendente</w:t>
            </w:r>
          </w:p>
        </w:tc>
        <w:tc>
          <w:tcPr>
            <w:tcW w:type="dxa" w:w="4118"/>
            <w:vAlign w:val="center"/>
            <w:shd w:fill="FFFFFF" w:val="clear"/>
          </w:tcPr>
          <w:p>
            <w:pPr>
              <w:pStyle w:val="Tabletext"/>
            </w:pPr>
            <w:r>
              <w:t>Seleção para E3</w:t>
            </w:r>
          </w:p>
        </w:tc>
      </w:tr>
      <w:tr>
        <w:trPr>
          <w:cantSplit/>
        </w:trPr>
        <w:tc>
          <w:tcPr>
            <w:tcW w:type="dxa" w:w="2477"/>
            <w:vAlign w:val="center"/>
            <w:shd w:fill="F2F5F7" w:val="clear"/>
          </w:tcPr>
          <w:p>
            <w:pPr>
              <w:pStyle w:val="Tabletext"/>
            </w:pPr>
            <w:r>
              <w:t>Auditoria retenção e modelo de confiança</w:t>
            </w:r>
          </w:p>
        </w:tc>
        <w:tc>
          <w:tcPr>
            <w:tcW w:type="dxa" w:w="3283"/>
            <w:vAlign w:val="center"/>
            <w:shd w:fill="F2F5F7" w:val="clear"/>
          </w:tcPr>
          <w:p>
            <w:pPr>
              <w:pStyle w:val="Tabletext"/>
            </w:pPr>
            <w:r>
              <w:t>Proposta a detalhar</w:t>
            </w:r>
          </w:p>
        </w:tc>
        <w:tc>
          <w:tcPr>
            <w:tcW w:type="dxa" w:w="4118"/>
            <w:vAlign w:val="center"/>
            <w:shd w:fill="F2F5F7" w:val="clear"/>
          </w:tcPr>
          <w:p>
            <w:pPr>
              <w:pStyle w:val="Tabletext"/>
            </w:pPr>
            <w:r>
              <w:t>Antes de executar dados reais em E2</w:t>
            </w:r>
          </w:p>
        </w:tc>
      </w:tr>
    </w:tbl>
    <w:p>
      <w:pPr>
        <w:spacing w:after="20" w:before="0" w:line="60" w:lineRule="exact"/>
      </w:pPr>
      <w:r>
        <w:rPr>
          <w:sz w:val="6"/>
        </w:rPr>
      </w:r>
    </w:p>
    <w:p>
      <w:r>
        <w:t>A adoção deve transformar as propostas técnicas escolhidas em decisões explícitas. Isso permite evoluir sem atribuir retroativamente ao proponente decisões de implementação que ainda não tomou.</w:t>
      </w:r>
    </w:p>
    <w:p>
      <w:bookmarkStart w:id="168" w:name="chapter_17"/>
      <w:pPr>
        <w:pStyle w:val="Heading1"/>
      </w:pPr>
      <w:r>
        <w:t>17 Exemplos ilustrativos</w:t>
      </w:r>
      <w:bookmarkEnd w:id="168"/>
    </w:p>
    <w:p>
      <w:r>
        <w:t>Os exemplos desta secção descrevem a intenção. Não são código executável nem definem a sintaxe final da TriX.</w:t>
      </w:r>
    </w:p>
    <w:p>
      <w:pPr>
        <w:pStyle w:val="Heading2"/>
      </w:pPr>
      <w:r>
        <w:t>Tarefa com seleção por capacidades</w:t>
      </w:r>
    </w:p>
    <w:p>
      <w:pPr>
        <w:pStyle w:val="Code"/>
        <w:keepNext/>
      </w:pPr>
      <w:r>
        <w:t>task resumir(documento):</w:t>
      </w:r>
    </w:p>
    <w:p>
      <w:pPr>
        <w:pStyle w:val="Code"/>
        <w:keepNext/>
      </w:pPr>
      <w:r>
        <w:t xml:space="preserve">    require operation = "text.generate"</w:t>
      </w:r>
    </w:p>
    <w:p>
      <w:pPr>
        <w:pStyle w:val="Code"/>
        <w:keepNext/>
      </w:pPr>
      <w:r>
        <w:t xml:space="preserve">    require model_profile = "resumos-validados-v1"</w:t>
      </w:r>
    </w:p>
    <w:p>
      <w:pPr>
        <w:pStyle w:val="Code"/>
        <w:keepNext/>
      </w:pPr>
      <w:r>
        <w:t xml:space="preserve">    require data_zone = project.allowed_zone</w:t>
      </w:r>
    </w:p>
    <w:p>
      <w:pPr>
        <w:pStyle w:val="Code"/>
        <w:keepNext/>
      </w:pPr>
      <w:r>
        <w:t xml:space="preserve">    limit cost = project.task_budget</w:t>
      </w:r>
    </w:p>
    <w:p>
      <w:pPr>
        <w:pStyle w:val="Code"/>
        <w:keepNext/>
      </w:pPr>
      <w:r>
        <w:t xml:space="preserve">    prefer low_latency</w:t>
      </w:r>
    </w:p>
    <w:p>
      <w:pPr>
        <w:pStyle w:val="Code"/>
        <w:keepNext/>
      </w:pPr>
      <w:r>
        <w:t xml:space="preserve">    then low_energy</w:t>
      </w:r>
    </w:p>
    <w:p>
      <w:pPr>
        <w:pStyle w:val="Code"/>
        <w:keepNext/>
      </w:pPr>
      <w:r>
        <w:t xml:space="preserve">    execute on eligible_resources()</w:t>
      </w:r>
    </w:p>
    <w:p>
      <w:pPr>
        <w:pStyle w:val="Code"/>
        <w:keepNext w:val="0"/>
      </w:pPr>
      <w:r>
        <w:t xml:space="preserve">    when unavailable: queue</w:t>
      </w:r>
    </w:p>
    <w:p>
      <w:pPr>
        <w:spacing w:after="20"/>
      </w:pPr>
    </w:p>
    <w:p>
      <w:r>
        <w:t>O perfil de modelo identifica variantes e critérios de qualidade autorizados. A escolha entre destinos só ocorre depois de verificar política, compatibilidade e recursos. A fila é a alternativa explícita quando não existe um destino elegível.</w:t>
      </w:r>
    </w:p>
    <w:p>
      <w:pPr>
        <w:pStyle w:val="Heading2"/>
      </w:pPr>
      <w:r>
        <w:t>Manifesto de um executor</w:t>
      </w:r>
    </w:p>
    <w:p>
      <w:pPr>
        <w:pStyle w:val="Code"/>
        <w:keepNext/>
      </w:pPr>
      <w:r>
        <w:t>schema: trix.capabilities/v1</w:t>
      </w:r>
    </w:p>
    <w:p>
      <w:pPr>
        <w:pStyle w:val="Code"/>
        <w:keepNext/>
      </w:pPr>
      <w:r>
        <w:t>node: node-example</w:t>
      </w:r>
    </w:p>
    <w:p>
      <w:pPr>
        <w:pStyle w:val="Code"/>
        <w:keepNext/>
      </w:pPr>
      <w:r>
        <w:t>platform:</w:t>
      </w:r>
    </w:p>
    <w:p>
      <w:pPr>
        <w:pStyle w:val="Code"/>
        <w:keepNext/>
      </w:pPr>
      <w:r>
        <w:t xml:space="preserve">  os: linux</w:t>
      </w:r>
    </w:p>
    <w:p>
      <w:pPr>
        <w:pStyle w:val="Code"/>
        <w:keepNext/>
      </w:pPr>
      <w:r>
        <w:t xml:space="preserve">  cpu_physical: x86_64</w:t>
      </w:r>
    </w:p>
    <w:p>
      <w:pPr>
        <w:pStyle w:val="Code"/>
        <w:keepNext/>
      </w:pPr>
      <w:r>
        <w:t xml:space="preserve">  cpu_process: x86_64</w:t>
      </w:r>
    </w:p>
    <w:p>
      <w:pPr>
        <w:pStyle w:val="Code"/>
        <w:keepNext/>
      </w:pPr>
      <w:r>
        <w:t xml:space="preserve">  abi: gnu</w:t>
      </w:r>
    </w:p>
    <w:p>
      <w:pPr>
        <w:pStyle w:val="Code"/>
        <w:keepNext/>
      </w:pPr>
      <w:r>
        <w:t xml:space="preserve">  execution: native</w:t>
      </w:r>
    </w:p>
    <w:p>
      <w:pPr>
        <w:pStyle w:val="Code"/>
        <w:keepNext/>
      </w:pPr>
      <w:r>
        <w:t>roles: [executor]</w:t>
      </w:r>
    </w:p>
    <w:p>
      <w:pPr>
        <w:pStyle w:val="Code"/>
        <w:keepNext/>
      </w:pPr>
      <w:r>
        <w:t>interfaces:</w:t>
      </w:r>
    </w:p>
    <w:p>
      <w:pPr>
        <w:pStyle w:val="Code"/>
        <w:keepNext/>
      </w:pPr>
      <w:r>
        <w:t xml:space="preserve">  task_plan: [1]</w:t>
      </w:r>
    </w:p>
    <w:p>
      <w:pPr>
        <w:pStyle w:val="Code"/>
        <w:keepNext/>
      </w:pPr>
      <w:r>
        <w:t xml:space="preserve">  adapter_api: [1]</w:t>
      </w:r>
    </w:p>
    <w:p>
      <w:pPr>
        <w:pStyle w:val="Code"/>
        <w:keepNext/>
      </w:pPr>
      <w:r>
        <w:t>validation:</w:t>
      </w:r>
    </w:p>
    <w:p>
      <w:pPr>
        <w:pStyle w:val="Code"/>
        <w:keepNext/>
      </w:pPr>
      <w:r>
        <w:t xml:space="preserve">  profile: reference-profile</w:t>
      </w:r>
    </w:p>
    <w:p>
      <w:pPr>
        <w:pStyle w:val="Code"/>
        <w:keepNext w:val="0"/>
      </w:pPr>
      <w:r>
        <w:t xml:space="preserve">  status: requires_verification</w:t>
      </w:r>
    </w:p>
    <w:p>
      <w:pPr>
        <w:spacing w:after="20"/>
      </w:pPr>
    </w:p>
    <w:p>
      <w:r>
        <w:t>O manifesto exemplifica campos. Não demonstra que a máquina tem aceleração nem que um modelo foi testado. Uma implementação deve acrescentar versões, recursos, permissões e evidência pertinentes.</w:t>
      </w:r>
    </w:p>
    <w:p>
      <w:pPr>
        <w:pStyle w:val="Heading2"/>
      </w:pPr>
      <w:r>
        <w:t>Escolha de infraestrutura</w:t>
      </w:r>
    </w:p>
    <w:p>
      <w:r>
        <w:t>Um projeto pode conter vários recursos: um executor Apple, um grupo NVIDIA, um grupo AMD, um serviço Intel, um terminal e um fornecedor remoto. Cada tarefa seleciona apenas destinos elegíveis. O proprietário pode fixar um destino por política ou reprodução, sem alterar a gramática comum.</w:t>
      </w:r>
    </w:p>
    <w:p>
      <w:r>
        <w:t>A saída de um modelo pode propor uma ação; a autorização para executar essa ação continua a pertencer ao sistema de governação.</w:t>
      </w:r>
    </w:p>
    <w:p>
      <w:bookmarkStart w:id="169" w:name="chapter_18"/>
      <w:pPr>
        <w:pStyle w:val="Heading1"/>
      </w:pPr>
      <w:r>
        <w:t>18 Glossário</w:t>
      </w:r>
      <w:bookmarkEnd w:id="169"/>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2261"/>
        <w:gridCol w:w="7618"/>
      </w:tblGrid>
      <w:tr>
        <w:trPr>
          <w:cantSplit/>
          <w:tblHeader w:val="true"/>
        </w:trPr>
        <w:tc>
          <w:tcPr>
            <w:tcW w:type="dxa" w:w="2261"/>
            <w:vAlign w:val="center"/>
            <w:shd w:fill="26313D" w:val="clear"/>
          </w:tcPr>
          <w:p>
            <w:pPr>
              <w:pStyle w:val="Tabletext"/>
              <w:jc w:val="center"/>
            </w:pPr>
            <w:r>
              <w:rPr>
                <w:b/>
                <w:color w:val="FFFFFF"/>
              </w:rPr>
              <w:t>Termo</w:t>
            </w:r>
          </w:p>
        </w:tc>
        <w:tc>
          <w:tcPr>
            <w:tcW w:type="dxa" w:w="7618"/>
            <w:vAlign w:val="center"/>
            <w:shd w:fill="26313D" w:val="clear"/>
          </w:tcPr>
          <w:p>
            <w:pPr>
              <w:pStyle w:val="Tabletext"/>
            </w:pPr>
            <w:r>
              <w:rPr>
                <w:b/>
                <w:color w:val="FFFFFF"/>
              </w:rPr>
              <w:t>Definição utilizada</w:t>
            </w:r>
          </w:p>
        </w:tc>
      </w:tr>
      <w:tr>
        <w:trPr>
          <w:cantSplit/>
        </w:trPr>
        <w:tc>
          <w:tcPr>
            <w:tcW w:type="dxa" w:w="2261"/>
            <w:vAlign w:val="center"/>
            <w:shd w:fill="FFFFFF" w:val="clear"/>
          </w:tcPr>
          <w:p>
            <w:pPr>
              <w:pStyle w:val="Tabletext"/>
              <w:jc w:val="center"/>
            </w:pPr>
            <w:r>
              <w:t>Adaptador</w:t>
            </w:r>
          </w:p>
        </w:tc>
        <w:tc>
          <w:tcPr>
            <w:tcW w:type="dxa" w:w="7618"/>
            <w:vAlign w:val="center"/>
            <w:shd w:fill="FFFFFF" w:val="clear"/>
          </w:tcPr>
          <w:p>
            <w:pPr>
              <w:pStyle w:val="Tabletext"/>
            </w:pPr>
            <w:r>
              <w:t>Componente que liga um contrato da TriX a uma implementação concreta</w:t>
            </w:r>
          </w:p>
        </w:tc>
      </w:tr>
      <w:tr>
        <w:trPr>
          <w:cantSplit/>
        </w:trPr>
        <w:tc>
          <w:tcPr>
            <w:tcW w:type="dxa" w:w="2261"/>
            <w:vAlign w:val="center"/>
            <w:shd w:fill="F2F5F7" w:val="clear"/>
          </w:tcPr>
          <w:p>
            <w:pPr>
              <w:pStyle w:val="Tabletext"/>
              <w:jc w:val="center"/>
            </w:pPr>
            <w:r>
              <w:t>ABI</w:t>
            </w:r>
          </w:p>
        </w:tc>
        <w:tc>
          <w:tcPr>
            <w:tcW w:type="dxa" w:w="7618"/>
            <w:vAlign w:val="center"/>
            <w:shd w:fill="F2F5F7" w:val="clear"/>
          </w:tcPr>
          <w:p>
            <w:pPr>
              <w:pStyle w:val="Tabletext"/>
            </w:pPr>
            <w:r>
              <w:t>Convenções de compatibilidade entre componentes binários</w:t>
            </w:r>
          </w:p>
        </w:tc>
      </w:tr>
      <w:tr>
        <w:trPr>
          <w:cantSplit/>
        </w:trPr>
        <w:tc>
          <w:tcPr>
            <w:tcW w:type="dxa" w:w="2261"/>
            <w:vAlign w:val="center"/>
            <w:shd w:fill="FFFFFF" w:val="clear"/>
          </w:tcPr>
          <w:p>
            <w:pPr>
              <w:pStyle w:val="Tabletext"/>
              <w:jc w:val="center"/>
            </w:pPr>
            <w:r>
              <w:t>Acelerador</w:t>
            </w:r>
          </w:p>
        </w:tc>
        <w:tc>
          <w:tcPr>
            <w:tcW w:type="dxa" w:w="7618"/>
            <w:vAlign w:val="center"/>
            <w:shd w:fill="FFFFFF" w:val="clear"/>
          </w:tcPr>
          <w:p>
            <w:pPr>
              <w:pStyle w:val="Tabletext"/>
            </w:pPr>
            <w:r>
              <w:t>Dispositivo especializado de cálculo como GPU NPU ou TPU</w:t>
            </w:r>
          </w:p>
        </w:tc>
      </w:tr>
      <w:tr>
        <w:trPr>
          <w:cantSplit/>
        </w:trPr>
        <w:tc>
          <w:tcPr>
            <w:tcW w:type="dxa" w:w="2261"/>
            <w:vAlign w:val="center"/>
            <w:shd w:fill="F2F5F7" w:val="clear"/>
          </w:tcPr>
          <w:p>
            <w:pPr>
              <w:pStyle w:val="Tabletext"/>
              <w:jc w:val="center"/>
            </w:pPr>
            <w:r>
              <w:t>Ator</w:t>
            </w:r>
          </w:p>
        </w:tc>
        <w:tc>
          <w:tcPr>
            <w:tcW w:type="dxa" w:w="7618"/>
            <w:vAlign w:val="center"/>
            <w:shd w:fill="F2F5F7" w:val="clear"/>
          </w:tcPr>
          <w:p>
            <w:pPr>
              <w:pStyle w:val="Tabletext"/>
            </w:pPr>
            <w:r>
              <w:t>Unidade de estado isolado com interação por operações ou mensagens definidas</w:t>
            </w:r>
          </w:p>
        </w:tc>
      </w:tr>
      <w:tr>
        <w:trPr>
          <w:cantSplit/>
        </w:trPr>
        <w:tc>
          <w:tcPr>
            <w:tcW w:type="dxa" w:w="2261"/>
            <w:vAlign w:val="center"/>
            <w:shd w:fill="FFFFFF" w:val="clear"/>
          </w:tcPr>
          <w:p>
            <w:pPr>
              <w:pStyle w:val="Tabletext"/>
              <w:jc w:val="center"/>
            </w:pPr>
            <w:r>
              <w:t>Backend</w:t>
            </w:r>
          </w:p>
        </w:tc>
        <w:tc>
          <w:tcPr>
            <w:tcW w:type="dxa" w:w="7618"/>
            <w:vAlign w:val="center"/>
            <w:shd w:fill="FFFFFF" w:val="clear"/>
          </w:tcPr>
          <w:p>
            <w:pPr>
              <w:pStyle w:val="Tabletext"/>
            </w:pPr>
            <w:r>
              <w:t>Implementação de execução de uma operação ou motor para um destino</w:t>
            </w:r>
          </w:p>
        </w:tc>
      </w:tr>
      <w:tr>
        <w:trPr>
          <w:cantSplit/>
        </w:trPr>
        <w:tc>
          <w:tcPr>
            <w:tcW w:type="dxa" w:w="2261"/>
            <w:vAlign w:val="center"/>
            <w:shd w:fill="F2F5F7" w:val="clear"/>
          </w:tcPr>
          <w:p>
            <w:pPr>
              <w:pStyle w:val="Tabletext"/>
              <w:jc w:val="center"/>
            </w:pPr>
            <w:r>
              <w:t>Capacidade técnica</w:t>
            </w:r>
          </w:p>
        </w:tc>
        <w:tc>
          <w:tcPr>
            <w:tcW w:type="dxa" w:w="7618"/>
            <w:vAlign w:val="center"/>
            <w:shd w:fill="F2F5F7" w:val="clear"/>
          </w:tcPr>
          <w:p>
            <w:pPr>
              <w:pStyle w:val="Tabletext"/>
            </w:pPr>
            <w:r>
              <w:t>Funcionalidade ou recurso que um componente declara verifica ou observa poder disponibilizar</w:t>
            </w:r>
          </w:p>
        </w:tc>
      </w:tr>
      <w:tr>
        <w:trPr>
          <w:cantSplit/>
        </w:trPr>
        <w:tc>
          <w:tcPr>
            <w:tcW w:type="dxa" w:w="2261"/>
            <w:vAlign w:val="center"/>
            <w:shd w:fill="FFFFFF" w:val="clear"/>
          </w:tcPr>
          <w:p>
            <w:pPr>
              <w:pStyle w:val="Tabletext"/>
            </w:pPr>
            <w:r>
              <w:t>Capacidade de autorização</w:t>
            </w:r>
          </w:p>
        </w:tc>
        <w:tc>
          <w:tcPr>
            <w:tcW w:type="dxa" w:w="7618"/>
            <w:vAlign w:val="center"/>
            <w:shd w:fill="FFFFFF" w:val="clear"/>
          </w:tcPr>
          <w:p>
            <w:pPr>
              <w:pStyle w:val="Tabletext"/>
            </w:pPr>
            <w:r>
              <w:t>Direito concedido para uma operação dentro de um âmbito e de uma validade definidos</w:t>
            </w:r>
          </w:p>
        </w:tc>
      </w:tr>
      <w:tr>
        <w:trPr>
          <w:cantSplit/>
        </w:trPr>
        <w:tc>
          <w:tcPr>
            <w:tcW w:type="dxa" w:w="2261"/>
            <w:vAlign w:val="center"/>
            <w:shd w:fill="F2F5F7" w:val="clear"/>
          </w:tcPr>
          <w:p>
            <w:pPr>
              <w:pStyle w:val="Tabletext"/>
              <w:jc w:val="center"/>
            </w:pPr>
            <w:r>
              <w:t>Checkpoint</w:t>
            </w:r>
          </w:p>
        </w:tc>
        <w:tc>
          <w:tcPr>
            <w:tcW w:type="dxa" w:w="7618"/>
            <w:vAlign w:val="center"/>
            <w:shd w:fill="F2F5F7" w:val="clear"/>
          </w:tcPr>
          <w:p>
            <w:pPr>
              <w:pStyle w:val="Tabletext"/>
            </w:pPr>
            <w:r>
              <w:t>Estado guardado com contrato explícito de retoma</w:t>
            </w:r>
          </w:p>
        </w:tc>
      </w:tr>
      <w:tr>
        <w:trPr>
          <w:cantSplit/>
        </w:trPr>
        <w:tc>
          <w:tcPr>
            <w:tcW w:type="dxa" w:w="2261"/>
            <w:vAlign w:val="center"/>
            <w:shd w:fill="FFFFFF" w:val="clear"/>
          </w:tcPr>
          <w:p>
            <w:pPr>
              <w:pStyle w:val="Tabletext"/>
              <w:jc w:val="center"/>
            </w:pPr>
            <w:r>
              <w:t>Cluster</w:t>
            </w:r>
          </w:p>
        </w:tc>
        <w:tc>
          <w:tcPr>
            <w:tcW w:type="dxa" w:w="7618"/>
            <w:vAlign w:val="center"/>
            <w:shd w:fill="FFFFFF" w:val="clear"/>
          </w:tcPr>
          <w:p>
            <w:pPr>
              <w:pStyle w:val="Tabletext"/>
            </w:pPr>
            <w:r>
              <w:t>Conjunto de máquinas administrado para disponibilizar recursos</w:t>
            </w:r>
          </w:p>
        </w:tc>
      </w:tr>
      <w:tr>
        <w:trPr>
          <w:cantSplit/>
        </w:trPr>
        <w:tc>
          <w:tcPr>
            <w:tcW w:type="dxa" w:w="2261"/>
            <w:vAlign w:val="center"/>
            <w:shd w:fill="F2F5F7" w:val="clear"/>
          </w:tcPr>
          <w:p>
            <w:pPr>
              <w:pStyle w:val="Tabletext"/>
              <w:jc w:val="center"/>
            </w:pPr>
            <w:r>
              <w:t>Efeito</w:t>
            </w:r>
          </w:p>
        </w:tc>
        <w:tc>
          <w:tcPr>
            <w:tcW w:type="dxa" w:w="7618"/>
            <w:vAlign w:val="center"/>
            <w:shd w:fill="F2F5F7" w:val="clear"/>
          </w:tcPr>
          <w:p>
            <w:pPr>
              <w:pStyle w:val="Tabletext"/>
            </w:pPr>
            <w:r>
              <w:t>Alteração observável fora do cálculo local</w:t>
            </w:r>
          </w:p>
        </w:tc>
      </w:tr>
      <w:tr>
        <w:trPr>
          <w:cantSplit/>
        </w:trPr>
        <w:tc>
          <w:tcPr>
            <w:tcW w:type="dxa" w:w="2261"/>
            <w:vAlign w:val="center"/>
            <w:shd w:fill="FFFFFF" w:val="clear"/>
          </w:tcPr>
          <w:p>
            <w:pPr>
              <w:pStyle w:val="Tabletext"/>
              <w:jc w:val="center"/>
            </w:pPr>
            <w:r>
              <w:t>Executor</w:t>
            </w:r>
          </w:p>
        </w:tc>
        <w:tc>
          <w:tcPr>
            <w:tcW w:type="dxa" w:w="7618"/>
            <w:vAlign w:val="center"/>
            <w:shd w:fill="FFFFFF" w:val="clear"/>
          </w:tcPr>
          <w:p>
            <w:pPr>
              <w:pStyle w:val="Tabletext"/>
            </w:pPr>
            <w:r>
              <w:t>Componente que realiza trabalho autorizado num destino</w:t>
            </w:r>
          </w:p>
        </w:tc>
      </w:tr>
      <w:tr>
        <w:trPr>
          <w:cantSplit/>
        </w:trPr>
        <w:tc>
          <w:tcPr>
            <w:tcW w:type="dxa" w:w="2261"/>
            <w:vAlign w:val="center"/>
            <w:shd w:fill="F2F5F7" w:val="clear"/>
          </w:tcPr>
          <w:p>
            <w:pPr>
              <w:pStyle w:val="Tabletext"/>
              <w:jc w:val="center"/>
            </w:pPr>
            <w:r>
              <w:t>Grupo validado</w:t>
            </w:r>
          </w:p>
        </w:tc>
        <w:tc>
          <w:tcPr>
            <w:tcW w:type="dxa" w:w="7618"/>
            <w:vAlign w:val="center"/>
            <w:shd w:fill="F2F5F7" w:val="clear"/>
          </w:tcPr>
          <w:p>
            <w:pPr>
              <w:pStyle w:val="Tabletext"/>
            </w:pPr>
            <w:r>
              <w:t>Recursos comprovadamente compatíveis para uma execução conjunta definida</w:t>
            </w:r>
          </w:p>
        </w:tc>
      </w:tr>
      <w:tr>
        <w:trPr>
          <w:cantSplit/>
        </w:trPr>
        <w:tc>
          <w:tcPr>
            <w:tcW w:type="dxa" w:w="2261"/>
            <w:vAlign w:val="center"/>
            <w:shd w:fill="FFFFFF" w:val="clear"/>
          </w:tcPr>
          <w:p>
            <w:pPr>
              <w:pStyle w:val="Tabletext"/>
              <w:jc w:val="center"/>
            </w:pPr>
            <w:r>
              <w:t>Idempotência</w:t>
            </w:r>
          </w:p>
        </w:tc>
        <w:tc>
          <w:tcPr>
            <w:tcW w:type="dxa" w:w="7618"/>
            <w:vAlign w:val="center"/>
            <w:shd w:fill="FFFFFF" w:val="clear"/>
          </w:tcPr>
          <w:p>
            <w:pPr>
              <w:pStyle w:val="Tabletext"/>
            </w:pPr>
            <w:r>
              <w:t>Propriedade que permite repetir uma operação sem multiplicar o efeito pretendido</w:t>
            </w:r>
          </w:p>
        </w:tc>
      </w:tr>
      <w:tr>
        <w:trPr>
          <w:cantSplit/>
        </w:trPr>
        <w:tc>
          <w:tcPr>
            <w:tcW w:type="dxa" w:w="2261"/>
            <w:vAlign w:val="center"/>
            <w:shd w:fill="F2F5F7" w:val="clear"/>
          </w:tcPr>
          <w:p>
            <w:pPr>
              <w:pStyle w:val="Tabletext"/>
              <w:jc w:val="center"/>
            </w:pPr>
            <w:r>
              <w:t>KV cache</w:t>
            </w:r>
          </w:p>
        </w:tc>
        <w:tc>
          <w:tcPr>
            <w:tcW w:type="dxa" w:w="7618"/>
            <w:vAlign w:val="center"/>
            <w:shd w:fill="F2F5F7" w:val="clear"/>
          </w:tcPr>
          <w:p>
            <w:pPr>
              <w:pStyle w:val="Tabletext"/>
            </w:pPr>
            <w:r>
              <w:t>Estado intermédio de atenção de certos modelos cuja compatibilidade depende da implementação</w:t>
            </w:r>
          </w:p>
        </w:tc>
      </w:tr>
      <w:tr>
        <w:trPr>
          <w:cantSplit/>
        </w:trPr>
        <w:tc>
          <w:tcPr>
            <w:tcW w:type="dxa" w:w="2261"/>
            <w:vAlign w:val="center"/>
            <w:shd w:fill="FFFFFF" w:val="clear"/>
          </w:tcPr>
          <w:p>
            <w:pPr>
              <w:pStyle w:val="Tabletext"/>
              <w:jc w:val="center"/>
            </w:pPr>
            <w:r>
              <w:t>Plano</w:t>
            </w:r>
          </w:p>
        </w:tc>
        <w:tc>
          <w:tcPr>
            <w:tcW w:type="dxa" w:w="7618"/>
            <w:vAlign w:val="center"/>
            <w:shd w:fill="FFFFFF" w:val="clear"/>
          </w:tcPr>
          <w:p>
            <w:pPr>
              <w:pStyle w:val="Tabletext"/>
            </w:pPr>
            <w:r>
              <w:t>Representação verificável de tarefas dependências efeitos e requisitos</w:t>
            </w:r>
          </w:p>
        </w:tc>
      </w:tr>
      <w:tr>
        <w:trPr>
          <w:cantSplit/>
        </w:trPr>
        <w:tc>
          <w:tcPr>
            <w:tcW w:type="dxa" w:w="2261"/>
            <w:vAlign w:val="center"/>
            <w:shd w:fill="F2F5F7" w:val="clear"/>
          </w:tcPr>
          <w:p>
            <w:pPr>
              <w:pStyle w:val="Tabletext"/>
              <w:jc w:val="center"/>
            </w:pPr>
            <w:r>
              <w:t>Perfil</w:t>
            </w:r>
          </w:p>
        </w:tc>
        <w:tc>
          <w:tcPr>
            <w:tcW w:type="dxa" w:w="7618"/>
            <w:vAlign w:val="center"/>
            <w:shd w:fill="F2F5F7" w:val="clear"/>
          </w:tcPr>
          <w:p>
            <w:pPr>
              <w:pStyle w:val="Tabletext"/>
            </w:pPr>
            <w:r>
              <w:t>Conjunto declarado de capacidades e condições de conformidade</w:t>
            </w:r>
          </w:p>
        </w:tc>
      </w:tr>
      <w:tr>
        <w:trPr>
          <w:cantSplit/>
        </w:trPr>
        <w:tc>
          <w:tcPr>
            <w:tcW w:type="dxa" w:w="2261"/>
            <w:vAlign w:val="center"/>
            <w:shd w:fill="FFFFFF" w:val="clear"/>
          </w:tcPr>
          <w:p>
            <w:pPr>
              <w:pStyle w:val="Tabletext"/>
              <w:jc w:val="center"/>
            </w:pPr>
            <w:r>
              <w:t>Proveniência</w:t>
            </w:r>
          </w:p>
        </w:tc>
        <w:tc>
          <w:tcPr>
            <w:tcW w:type="dxa" w:w="7618"/>
            <w:vAlign w:val="center"/>
            <w:shd w:fill="FFFFFF" w:val="clear"/>
          </w:tcPr>
          <w:p>
            <w:pPr>
              <w:pStyle w:val="Tabletext"/>
            </w:pPr>
            <w:r>
              <w:t>Registo da origem e das versões que produziram um artefacto ou resultado</w:t>
            </w:r>
          </w:p>
        </w:tc>
      </w:tr>
      <w:tr>
        <w:trPr>
          <w:cantSplit/>
        </w:trPr>
        <w:tc>
          <w:tcPr>
            <w:tcW w:type="dxa" w:w="2261"/>
            <w:vAlign w:val="center"/>
            <w:shd w:fill="F2F5F7" w:val="clear"/>
          </w:tcPr>
          <w:p>
            <w:pPr>
              <w:pStyle w:val="Tabletext"/>
              <w:jc w:val="center"/>
            </w:pPr>
            <w:r>
              <w:t>Reconciliação</w:t>
            </w:r>
          </w:p>
        </w:tc>
        <w:tc>
          <w:tcPr>
            <w:tcW w:type="dxa" w:w="7618"/>
            <w:vAlign w:val="center"/>
            <w:shd w:fill="F2F5F7" w:val="clear"/>
          </w:tcPr>
          <w:p>
            <w:pPr>
              <w:pStyle w:val="Tabletext"/>
            </w:pPr>
            <w:r>
              <w:t>Processo de determinar e regularizar o resultado de uma operação incerta</w:t>
            </w:r>
          </w:p>
        </w:tc>
      </w:tr>
      <w:tr>
        <w:trPr>
          <w:cantSplit/>
        </w:trPr>
        <w:tc>
          <w:tcPr>
            <w:tcW w:type="dxa" w:w="2261"/>
            <w:vAlign w:val="center"/>
            <w:shd w:fill="FFFFFF" w:val="clear"/>
          </w:tcPr>
          <w:p>
            <w:pPr>
              <w:pStyle w:val="Tabletext"/>
              <w:jc w:val="center"/>
            </w:pPr>
            <w:r>
              <w:t>Runtime</w:t>
            </w:r>
          </w:p>
        </w:tc>
        <w:tc>
          <w:tcPr>
            <w:tcW w:type="dxa" w:w="7618"/>
            <w:vAlign w:val="center"/>
            <w:shd w:fill="FFFFFF" w:val="clear"/>
          </w:tcPr>
          <w:p>
            <w:pPr>
              <w:pStyle w:val="Tabletext"/>
            </w:pPr>
            <w:r>
              <w:t>Componentes que coordenam e realizam a execução dos planos</w:t>
            </w:r>
          </w:p>
        </w:tc>
      </w:tr>
      <w:tr>
        <w:trPr>
          <w:cantSplit/>
        </w:trPr>
        <w:tc>
          <w:tcPr>
            <w:tcW w:type="dxa" w:w="2261"/>
            <w:vAlign w:val="center"/>
            <w:shd w:fill="F2F5F7" w:val="clear"/>
          </w:tcPr>
          <w:p>
            <w:pPr>
              <w:pStyle w:val="Tabletext"/>
              <w:jc w:val="center"/>
            </w:pPr>
            <w:r>
              <w:t>SDK</w:t>
            </w:r>
          </w:p>
        </w:tc>
        <w:tc>
          <w:tcPr>
            <w:tcW w:type="dxa" w:w="7618"/>
            <w:vAlign w:val="center"/>
            <w:shd w:fill="F2F5F7" w:val="clear"/>
          </w:tcPr>
          <w:p>
            <w:pPr>
              <w:pStyle w:val="Tabletext"/>
            </w:pPr>
            <w:r>
              <w:t>Ferramentas e interfaces para desenvolver integrações</w:t>
            </w:r>
          </w:p>
        </w:tc>
      </w:tr>
      <w:tr>
        <w:trPr>
          <w:cantSplit/>
        </w:trPr>
        <w:tc>
          <w:tcPr>
            <w:tcW w:type="dxa" w:w="2261"/>
            <w:vAlign w:val="center"/>
            <w:shd w:fill="FFFFFF" w:val="clear"/>
          </w:tcPr>
          <w:p>
            <w:pPr>
              <w:pStyle w:val="Tabletext"/>
              <w:jc w:val="center"/>
            </w:pPr>
            <w:r>
              <w:t>Tensor parallel</w:t>
            </w:r>
          </w:p>
        </w:tc>
        <w:tc>
          <w:tcPr>
            <w:tcW w:type="dxa" w:w="7618"/>
            <w:vAlign w:val="center"/>
            <w:shd w:fill="FFFFFF" w:val="clear"/>
          </w:tcPr>
          <w:p>
            <w:pPr>
              <w:pStyle w:val="Tabletext"/>
            </w:pPr>
            <w:r>
              <w:t>Repartição de operações de um modelo por dispositivos com comunicação coordenada</w:t>
            </w:r>
          </w:p>
        </w:tc>
      </w:tr>
    </w:tbl>
    <w:p>
      <w:pPr>
        <w:spacing w:after="20" w:before="0" w:line="60" w:lineRule="exact"/>
      </w:pPr>
      <w:r>
        <w:rPr>
          <w:sz w:val="6"/>
        </w:rPr>
      </w:r>
    </w:p>
    <w:p>
      <w:bookmarkStart w:id="170" w:name="chapter_19"/>
      <w:pPr>
        <w:pStyle w:val="Heading1"/>
      </w:pPr>
      <w:r>
        <w:t>19 Fontes técnicas</w:t>
      </w:r>
      <w:bookmarkEnd w:id="170"/>
    </w:p>
    <w:p>
      <w:r>
        <w:t>As fontes seguintes são informativas e foram consultadas no contexto da conceção em 22 de outubro de 2026. As matrizes de compatibilidade são evolutivas. Cada publicação da TriX deve fixar e verificar as versões concretas que utiliza. As normas próprias deste documento são propostas de projeto, não transcrições destas fontes.</w:t>
      </w:r>
    </w:p>
    <w:p>
      <w:bookmarkStart w:id="171" w:name="F01"/>
      <w:pPr>
        <w:pStyle w:val="Source"/>
      </w:pPr>
      <w:r>
        <w:rPr>
          <w:b/>
        </w:rPr>
        <w:t>F01 Rust.</w:t>
      </w:r>
      <w:r>
        <w:t xml:space="preserve"> The Rust Programming Language, Understanding Ownership. Fundamento para propriedade, empréstimos e gestão da duração de recursos.</w:t>
      </w:r>
      <w:bookmarkEnd w:id="171"/>
    </w:p>
    <w:p>
      <w:pPr>
        <w:pStyle w:val="SourceURL"/>
      </w:pPr>
      <w:hyperlink r:id="rId10">
        <w:r>
          <w:rPr>
            <w:rFonts w:ascii="Nimbus Sans" w:hAnsi="Nimbus Sans"/>
            <w:color w:val="174A70"/>
            <w:sz w:val="18"/>
          </w:rPr>
          <w:t xml:space="preserve">https://doc.rust-lang.org/book/ch04-00-understanding-ownership.html</w:t>
        </w:r>
      </w:hyperlink>
    </w:p>
    <w:p>
      <w:bookmarkStart w:id="172" w:name="F02"/>
      <w:pPr>
        <w:pStyle w:val="Source"/>
      </w:pPr>
      <w:r>
        <w:rPr>
          <w:b/>
        </w:rPr>
        <w:t>F02 Python.</w:t>
      </w:r>
      <w:r>
        <w:t xml:space="preserve"> The Python Tutorial. Referência para estruturas de alto nível, scripting e extensibilidade.</w:t>
      </w:r>
      <w:bookmarkEnd w:id="172"/>
    </w:p>
    <w:p>
      <w:pPr>
        <w:pStyle w:val="SourceURL"/>
      </w:pPr>
      <w:hyperlink r:id="rId11">
        <w:r>
          <w:rPr>
            <w:rFonts w:ascii="Nimbus Sans" w:hAnsi="Nimbus Sans"/>
            <w:color w:val="174A70"/>
            <w:sz w:val="18"/>
          </w:rPr>
          <w:t xml:space="preserve">https://docs.python.org/3/tutorial/</w:t>
        </w:r>
      </w:hyperlink>
    </w:p>
    <w:p>
      <w:bookmarkStart w:id="173" w:name="F03"/>
      <w:pPr>
        <w:pStyle w:val="Source"/>
      </w:pPr>
      <w:r>
        <w:rPr>
          <w:b/>
        </w:rPr>
        <w:t>F03 Swift.</w:t>
      </w:r>
      <w:r>
        <w:t xml:space="preserve"> The Swift Programming Language, Concurrency. Referência para concorrência estruturada, atores e transferência entre domínios.</w:t>
      </w:r>
      <w:bookmarkEnd w:id="173"/>
    </w:p>
    <w:p>
      <w:pPr>
        <w:pStyle w:val="SourceURL"/>
      </w:pPr>
      <w:hyperlink r:id="rId12">
        <w:r>
          <w:rPr>
            <w:rFonts w:ascii="Nimbus Sans" w:hAnsi="Nimbus Sans"/>
            <w:color w:val="174A70"/>
            <w:sz w:val="18"/>
          </w:rPr>
          <w:t xml:space="preserve">https://docs.swift.org/swift-book/LanguageGuide/Concurrency.html</w:t>
        </w:r>
      </w:hyperlink>
    </w:p>
    <w:p>
      <w:bookmarkStart w:id="174" w:name="F04"/>
      <w:pPr>
        <w:pStyle w:val="Source"/>
      </w:pPr>
      <w:r>
        <w:rPr>
          <w:b/>
        </w:rPr>
        <w:t>F04 Rust.</w:t>
      </w:r>
      <w:r>
        <w:t xml:space="preserve"> Platform Support. Destinos de compilação e níveis de suporte do compilador.</w:t>
      </w:r>
      <w:bookmarkEnd w:id="174"/>
    </w:p>
    <w:p>
      <w:pPr>
        <w:pStyle w:val="SourceURL"/>
      </w:pPr>
      <w:hyperlink r:id="rId13">
        <w:r>
          <w:rPr>
            <w:rFonts w:ascii="Nimbus Sans" w:hAnsi="Nimbus Sans"/>
            <w:color w:val="174A70"/>
            <w:sz w:val="18"/>
          </w:rPr>
          <w:t xml:space="preserve">https://doc.rust-lang.org/rustc/platform-support.html</w:t>
        </w:r>
      </w:hyperlink>
    </w:p>
    <w:p>
      <w:bookmarkStart w:id="175" w:name="F05"/>
      <w:pPr>
        <w:pStyle w:val="Source"/>
      </w:pPr>
      <w:r>
        <w:rPr>
          <w:b/>
        </w:rPr>
        <w:t>F05 Android.</w:t>
      </w:r>
      <w:r>
        <w:t xml:space="preserve"> Android ABIs. Separação entre instruções, ABI e compatibilidade binária.</w:t>
      </w:r>
      <w:bookmarkEnd w:id="175"/>
    </w:p>
    <w:p>
      <w:pPr>
        <w:pStyle w:val="SourceURL"/>
      </w:pPr>
      <w:hyperlink r:id="rId14">
        <w:r>
          <w:rPr>
            <w:rFonts w:ascii="Nimbus Sans" w:hAnsi="Nimbus Sans"/>
            <w:color w:val="174A70"/>
            <w:sz w:val="18"/>
          </w:rPr>
          <w:t xml:space="preserve">https://developer.android.com/ndk/guides/abis</w:t>
        </w:r>
      </w:hyperlink>
    </w:p>
    <w:p>
      <w:bookmarkStart w:id="176" w:name="F06"/>
      <w:pPr>
        <w:pStyle w:val="Source"/>
      </w:pPr>
      <w:r>
        <w:rPr>
          <w:b/>
        </w:rPr>
        <w:t>F06 Microsoft.</w:t>
      </w:r>
      <w:r>
        <w:t xml:space="preserve"> Add Arm support to your Windows app. Execução nativa, emulação e dependências ARM64.</w:t>
      </w:r>
      <w:bookmarkEnd w:id="176"/>
    </w:p>
    <w:p>
      <w:pPr>
        <w:pStyle w:val="SourceURL"/>
      </w:pPr>
      <w:hyperlink r:id="rId15">
        <w:r>
          <w:rPr>
            <w:rFonts w:ascii="Nimbus Sans" w:hAnsi="Nimbus Sans"/>
            <w:color w:val="174A70"/>
            <w:sz w:val="18"/>
          </w:rPr>
          <w:t xml:space="preserve">https://learn.microsoft.com/en-us/windows/arm/add-arm-support</w:t>
        </w:r>
      </w:hyperlink>
    </w:p>
    <w:p>
      <w:bookmarkStart w:id="177" w:name="F07"/>
      <w:pPr>
        <w:pStyle w:val="Source"/>
      </w:pPr>
      <w:r>
        <w:rPr>
          <w:b/>
        </w:rPr>
        <w:t>F07 Apple.</w:t>
      </w:r>
      <w:r>
        <w:t xml:space="preserve"> Finish tasks in the background, WWDC25. Continuação de tarefas e acesso condicionado a GPU em segundo plano.</w:t>
      </w:r>
      <w:bookmarkEnd w:id="177"/>
    </w:p>
    <w:p>
      <w:pPr>
        <w:pStyle w:val="SourceURL"/>
      </w:pPr>
      <w:hyperlink r:id="rId16">
        <w:r>
          <w:rPr>
            <w:rFonts w:ascii="Nimbus Sans" w:hAnsi="Nimbus Sans"/>
            <w:color w:val="174A70"/>
            <w:sz w:val="18"/>
          </w:rPr>
          <w:t xml:space="preserve">https://developer.apple.com/videos/play/wwdc2025/227/</w:t>
        </w:r>
      </w:hyperlink>
    </w:p>
    <w:p>
      <w:bookmarkStart w:id="178" w:name="F08"/>
      <w:pPr>
        <w:pStyle w:val="Source"/>
      </w:pPr>
      <w:r>
        <w:rPr>
          <w:b/>
        </w:rPr>
        <w:t>F08 Android.</w:t>
      </w:r>
      <w:r>
        <w:t xml:space="preserve"> Background tasks overview. Modelos de trabalho e restrições de segundo plano.</w:t>
      </w:r>
      <w:bookmarkEnd w:id="178"/>
    </w:p>
    <w:p>
      <w:pPr>
        <w:pStyle w:val="SourceURL"/>
      </w:pPr>
      <w:hyperlink r:id="rId17">
        <w:r>
          <w:rPr>
            <w:rFonts w:ascii="Nimbus Sans" w:hAnsi="Nimbus Sans"/>
            <w:color w:val="174A70"/>
            <w:sz w:val="18"/>
          </w:rPr>
          <w:t xml:space="preserve">https://developer.android.com/develop/background-work/background-tasks</w:t>
        </w:r>
      </w:hyperlink>
    </w:p>
    <w:p>
      <w:bookmarkStart w:id="179" w:name="F09"/>
      <w:pPr>
        <w:pStyle w:val="Source"/>
      </w:pPr>
      <w:r>
        <w:rPr>
          <w:b/>
        </w:rPr>
        <w:t>F09 Apple MLX.</w:t>
      </w:r>
      <w:r>
        <w:t xml:space="preserve"> Repositório oficial. APIs, dispositivos de execução e variantes de instalação.</w:t>
      </w:r>
      <w:bookmarkEnd w:id="179"/>
    </w:p>
    <w:p>
      <w:pPr>
        <w:pStyle w:val="SourceURL"/>
      </w:pPr>
      <w:hyperlink r:id="rId18">
        <w:r>
          <w:rPr>
            <w:rFonts w:ascii="Nimbus Sans" w:hAnsi="Nimbus Sans"/>
            <w:color w:val="174A70"/>
            <w:sz w:val="18"/>
          </w:rPr>
          <w:t xml:space="preserve">https://github.com/ml-explore/mlx</w:t>
        </w:r>
      </w:hyperlink>
    </w:p>
    <w:p>
      <w:bookmarkStart w:id="180" w:name="F10"/>
      <w:pPr>
        <w:pStyle w:val="Source"/>
      </w:pPr>
      <w:r>
        <w:rPr>
          <w:b/>
        </w:rPr>
        <w:t>F10 Apple.</w:t>
      </w:r>
      <w:r>
        <w:t xml:space="preserve"> Optimize your Core ML usage, WWDC22. Utilização de CPU, GPU e Neural Engine segundo o modelo.</w:t>
      </w:r>
      <w:bookmarkEnd w:id="180"/>
    </w:p>
    <w:p>
      <w:pPr>
        <w:pStyle w:val="SourceURL"/>
      </w:pPr>
      <w:hyperlink r:id="rId19">
        <w:r>
          <w:rPr>
            <w:rFonts w:ascii="Nimbus Sans" w:hAnsi="Nimbus Sans"/>
            <w:color w:val="174A70"/>
            <w:sz w:val="18"/>
          </w:rPr>
          <w:t xml:space="preserve">https://developer.apple.com/videos/play/wwdc2022/10027/</w:t>
        </w:r>
      </w:hyperlink>
    </w:p>
    <w:p>
      <w:bookmarkStart w:id="181" w:name="F11"/>
      <w:pPr>
        <w:pStyle w:val="Source"/>
      </w:pPr>
      <w:r>
        <w:rPr>
          <w:b/>
        </w:rPr>
        <w:t>F11 NVIDIA.</w:t>
      </w:r>
      <w:r>
        <w:t xml:space="preserve"> CUDA Installation Guide for Linux. Arquiteturas e ambientes qualificados.</w:t>
      </w:r>
      <w:bookmarkEnd w:id="181"/>
    </w:p>
    <w:p>
      <w:pPr>
        <w:pStyle w:val="SourceURL"/>
      </w:pPr>
      <w:hyperlink r:id="rId20">
        <w:r>
          <w:rPr>
            <w:rFonts w:ascii="Nimbus Sans" w:hAnsi="Nimbus Sans"/>
            <w:color w:val="174A70"/>
            <w:sz w:val="18"/>
          </w:rPr>
          <w:t xml:space="preserve">https://docs.nvidia.com/cuda/cuda-installation-guide-linux/</w:t>
        </w:r>
      </w:hyperlink>
    </w:p>
    <w:p>
      <w:bookmarkStart w:id="182" w:name="F12"/>
      <w:pPr>
        <w:pStyle w:val="Source"/>
      </w:pPr>
      <w:r>
        <w:rPr>
          <w:b/>
        </w:rPr>
        <w:t>F12 AMD.</w:t>
      </w:r>
      <w:r>
        <w:t xml:space="preserve"> ROCm compatibility matrix. Relações entre hardware, sistema, firmware, controladores e software.</w:t>
      </w:r>
      <w:bookmarkEnd w:id="182"/>
    </w:p>
    <w:p>
      <w:pPr>
        <w:pStyle w:val="SourceURL"/>
      </w:pPr>
      <w:hyperlink r:id="rId21">
        <w:r>
          <w:rPr>
            <w:rFonts w:ascii="Nimbus Sans" w:hAnsi="Nimbus Sans"/>
            <w:color w:val="174A70"/>
            <w:sz w:val="18"/>
          </w:rPr>
          <w:t xml:space="preserve">https://rocm.docs.amd.com/en/latest/compatibility/compatibility-matrix.html</w:t>
        </w:r>
      </w:hyperlink>
    </w:p>
    <w:p>
      <w:bookmarkStart w:id="183" w:name="F13"/>
      <w:pPr>
        <w:pStyle w:val="Source"/>
      </w:pPr>
      <w:r>
        <w:rPr>
          <w:b/>
        </w:rPr>
        <w:t>F13 Intel Gaudi.</w:t>
      </w:r>
      <w:r>
        <w:t xml:space="preserve"> Intel Gaudi Software Suite. Componentes de execução e comunicação HCCL.</w:t>
      </w:r>
      <w:bookmarkEnd w:id="183"/>
    </w:p>
    <w:p>
      <w:pPr>
        <w:pStyle w:val="SourceURL"/>
      </w:pPr>
      <w:hyperlink r:id="rId22">
        <w:r>
          <w:rPr>
            <w:rFonts w:ascii="Nimbus Sans" w:hAnsi="Nimbus Sans"/>
            <w:color w:val="174A70"/>
            <w:sz w:val="18"/>
          </w:rPr>
          <w:t xml:space="preserve">https://docs.habana.ai/en/latest/Gaudi_Overview/Intel_Gaudi_Software_Suite.html</w:t>
        </w:r>
      </w:hyperlink>
    </w:p>
    <w:p>
      <w:bookmarkStart w:id="184" w:name="F14"/>
      <w:pPr>
        <w:pStyle w:val="Source"/>
      </w:pPr>
      <w:r>
        <w:rPr>
          <w:b/>
        </w:rPr>
        <w:t>F14 Intel OpenVINO.</w:t>
      </w:r>
      <w:r>
        <w:t xml:space="preserve"> System Requirements. Perfis de CPU, GPU e NPU.</w:t>
      </w:r>
      <w:bookmarkEnd w:id="184"/>
    </w:p>
    <w:p>
      <w:pPr>
        <w:pStyle w:val="SourceURL"/>
      </w:pPr>
      <w:hyperlink r:id="rId23">
        <w:r>
          <w:rPr>
            <w:rFonts w:ascii="Nimbus Sans" w:hAnsi="Nimbus Sans"/>
            <w:color w:val="174A70"/>
            <w:sz w:val="18"/>
          </w:rPr>
          <w:t xml:space="preserve">https://docs.openvino.ai/2026/about-openvino/release-notes-openvino/system-requirements.html</w:t>
        </w:r>
      </w:hyperlink>
    </w:p>
    <w:p>
      <w:bookmarkStart w:id="185" w:name="F15"/>
      <w:pPr>
        <w:pStyle w:val="Source"/>
      </w:pPr>
      <w:r>
        <w:rPr>
          <w:b/>
        </w:rPr>
        <w:t>F15 Kubernetes.</w:t>
      </w:r>
      <w:r>
        <w:t xml:space="preserve"> Schedule GPUs. Recursos de GPU e seleção de nós.</w:t>
      </w:r>
      <w:bookmarkEnd w:id="185"/>
    </w:p>
    <w:p>
      <w:pPr>
        <w:pStyle w:val="SourceURL"/>
      </w:pPr>
      <w:hyperlink r:id="rId24">
        <w:r>
          <w:rPr>
            <w:rFonts w:ascii="Nimbus Sans" w:hAnsi="Nimbus Sans"/>
            <w:color w:val="174A70"/>
            <w:sz w:val="18"/>
          </w:rPr>
          <w:t xml:space="preserve">https://kubernetes.io/docs/tasks/manage-gpus/scheduling-gpus/</w:t>
        </w:r>
      </w:hyperlink>
    </w:p>
    <w:p>
      <w:bookmarkStart w:id="186" w:name="F16"/>
      <w:pPr>
        <w:pStyle w:val="Source"/>
      </w:pPr>
      <w:r>
        <w:rPr>
          <w:b/>
        </w:rPr>
        <w:t>F16 Slurm.</w:t>
      </w:r>
      <w:r>
        <w:t xml:space="preserve"> Generic Resource Scheduling. Atribuição de recursos como GPUs.</w:t>
      </w:r>
      <w:bookmarkEnd w:id="186"/>
    </w:p>
    <w:p>
      <w:pPr>
        <w:pStyle w:val="SourceURL"/>
      </w:pPr>
      <w:hyperlink r:id="rId25">
        <w:r>
          <w:rPr>
            <w:rFonts w:ascii="Nimbus Sans" w:hAnsi="Nimbus Sans"/>
            <w:color w:val="174A70"/>
            <w:sz w:val="18"/>
          </w:rPr>
          <w:t xml:space="preserve">https://slurm.schedmd.com/gres.html</w:t>
        </w:r>
      </w:hyperlink>
    </w:p>
    <w:p>
      <w:bookmarkStart w:id="187" w:name="F17"/>
      <w:pPr>
        <w:pStyle w:val="Source"/>
      </w:pPr>
      <w:r>
        <w:rPr>
          <w:b/>
        </w:rPr>
        <w:t>F17 ONNX Runtime.</w:t>
      </w:r>
      <w:r>
        <w:t xml:space="preserve"> QNN Execution Provider. Integração com aceleradores Qualcomm e requisitos específicos.</w:t>
      </w:r>
      <w:bookmarkEnd w:id="187"/>
    </w:p>
    <w:p>
      <w:pPr>
        <w:pStyle w:val="SourceURL"/>
      </w:pPr>
      <w:hyperlink r:id="rId26">
        <w:r>
          <w:rPr>
            <w:rFonts w:ascii="Nimbus Sans" w:hAnsi="Nimbus Sans"/>
            <w:color w:val="174A70"/>
            <w:sz w:val="18"/>
          </w:rPr>
          <w:t xml:space="preserve">https://onnxruntime.ai/docs/execution-providers/QNN-ExecutionProvider.html</w:t>
        </w:r>
      </w:hyperlink>
    </w:p>
    <w:p>
      <w:bookmarkStart w:id="188" w:name="F18"/>
      <w:pPr>
        <w:pStyle w:val="Source"/>
      </w:pPr>
      <w:r>
        <w:rPr>
          <w:b/>
        </w:rPr>
        <w:t>F18 JAX.</w:t>
      </w:r>
      <w:r>
        <w:t xml:space="preserve"> Installation. Pacotes e requisitos por plataforma e acelerador, incluindo Cloud TPU.</w:t>
      </w:r>
      <w:bookmarkEnd w:id="188"/>
    </w:p>
    <w:p>
      <w:pPr>
        <w:pStyle w:val="SourceURL"/>
      </w:pPr>
      <w:hyperlink r:id="rId27">
        <w:r>
          <w:rPr>
            <w:rFonts w:ascii="Nimbus Sans" w:hAnsi="Nimbus Sans"/>
            <w:color w:val="174A70"/>
            <w:sz w:val="18"/>
          </w:rPr>
          <w:t xml:space="preserve">https://docs.jax.dev/en/latest/installation.html</w:t>
        </w:r>
      </w:hyperlink>
    </w:p>
    <w:p>
      <w:bookmarkStart w:id="189" w:name="F19"/>
      <w:pPr>
        <w:pStyle w:val="Source"/>
      </w:pPr>
      <w:r>
        <w:rPr>
          <w:b/>
        </w:rPr>
        <w:t>F19 AWS.</w:t>
      </w:r>
      <w:r>
        <w:t xml:space="preserve"> What is AWS Neuron. Compilação e execução em Trainium e Inferentia.</w:t>
      </w:r>
      <w:bookmarkEnd w:id="189"/>
    </w:p>
    <w:p>
      <w:pPr>
        <w:pStyle w:val="SourceURL"/>
      </w:pPr>
      <w:hyperlink r:id="rId28">
        <w:r>
          <w:rPr>
            <w:rFonts w:ascii="Nimbus Sans" w:hAnsi="Nimbus Sans"/>
            <w:color w:val="174A70"/>
            <w:sz w:val="18"/>
          </w:rPr>
          <w:t xml:space="preserve">https://awsdocs-neuron.readthedocs-hosted.com/en/latest/about-neuron/what-is-neuron.html</w:t>
        </w:r>
      </w:hyperlink>
    </w:p>
    <w:p>
      <w:bookmarkStart w:id="190" w:name="F20"/>
      <w:pPr>
        <w:pStyle w:val="Source"/>
      </w:pPr>
      <w:r>
        <w:rPr>
          <w:b/>
        </w:rPr>
        <w:t>F20 NVIDIA.</w:t>
      </w:r>
      <w:r>
        <w:t xml:space="preserve"> NVIDIA Collective Communications Library. Comunicação entre GPUs e nós no ecossistema NVIDIA.</w:t>
      </w:r>
      <w:bookmarkEnd w:id="190"/>
    </w:p>
    <w:p>
      <w:pPr>
        <w:pStyle w:val="SourceURL"/>
      </w:pPr>
      <w:hyperlink r:id="rId29">
        <w:r>
          <w:rPr>
            <w:rFonts w:ascii="Nimbus Sans" w:hAnsi="Nimbus Sans"/>
            <w:color w:val="174A70"/>
            <w:sz w:val="18"/>
          </w:rPr>
          <w:t xml:space="preserve">https://developer.nvidia.com/nccl</w:t>
        </w:r>
      </w:hyperlink>
    </w:p>
    <w:p>
      <w:bookmarkStart w:id="191" w:name="F21"/>
      <w:pPr>
        <w:pStyle w:val="Source"/>
      </w:pPr>
      <w:r>
        <w:rPr>
          <w:b/>
        </w:rPr>
        <w:t>F21 AMD.</w:t>
      </w:r>
      <w:r>
        <w:t xml:space="preserve"> RCCL documentation. Comunicação distribuída otimizada para GPUs AMD.</w:t>
      </w:r>
      <w:bookmarkEnd w:id="191"/>
    </w:p>
    <w:p>
      <w:pPr>
        <w:pStyle w:val="SourceURL"/>
      </w:pPr>
      <w:hyperlink r:id="rId30">
        <w:r>
          <w:rPr>
            <w:rFonts w:ascii="Nimbus Sans" w:hAnsi="Nimbus Sans"/>
            <w:color w:val="174A70"/>
            <w:sz w:val="18"/>
          </w:rPr>
          <w:t xml:space="preserve">https://rocm.docs.amd.com/projects/rccl/en/latest/</w:t>
        </w:r>
      </w:hyperlink>
    </w:p>
    <w:p>
      <w:bookmarkStart w:id="192" w:name="F22"/>
      <w:pPr>
        <w:pStyle w:val="Source"/>
      </w:pPr>
      <w:r>
        <w:rPr>
          <w:b/>
        </w:rPr>
        <w:t>F22 OpenXLA.</w:t>
      </w:r>
      <w:r>
        <w:t xml:space="preserve"> PJRT Uniform Device API. Interface de dispositivos através de plugins.</w:t>
      </w:r>
      <w:bookmarkEnd w:id="192"/>
    </w:p>
    <w:p>
      <w:pPr>
        <w:pStyle w:val="SourceURL"/>
      </w:pPr>
      <w:hyperlink r:id="rId31">
        <w:r>
          <w:rPr>
            <w:rFonts w:ascii="Nimbus Sans" w:hAnsi="Nimbus Sans"/>
            <w:color w:val="174A70"/>
            <w:sz w:val="18"/>
          </w:rPr>
          <w:t xml:space="preserve">https://openxla.org/xla/pjrt</w:t>
        </w:r>
      </w:hyperlink>
    </w:p>
    <w:p>
      <w:bookmarkStart w:id="193" w:name="F23"/>
      <w:pPr>
        <w:pStyle w:val="Source"/>
      </w:pPr>
      <w:r>
        <w:rPr>
          <w:b/>
        </w:rPr>
        <w:t>F23 Python Packaging.</w:t>
      </w:r>
      <w:r>
        <w:t xml:space="preserve"> Platform compatibility tags. Compatibilidade por Python, ABI e plataforma.</w:t>
      </w:r>
      <w:bookmarkEnd w:id="193"/>
    </w:p>
    <w:p>
      <w:pPr>
        <w:pStyle w:val="SourceURL"/>
      </w:pPr>
      <w:hyperlink r:id="rId32">
        <w:r>
          <w:rPr>
            <w:rFonts w:ascii="Nimbus Sans" w:hAnsi="Nimbus Sans"/>
            <w:color w:val="174A70"/>
            <w:sz w:val="18"/>
          </w:rPr>
          <w:t xml:space="preserve">https://packaging.python.org/en/latest/specifications/platform-compatibility-tags/</w:t>
        </w:r>
      </w:hyperlink>
    </w:p>
    <w:p>
      <w:bookmarkStart w:id="194" w:name="F24"/>
      <w:pPr>
        <w:pStyle w:val="Source"/>
      </w:pPr>
      <w:r>
        <w:rPr>
          <w:b/>
        </w:rPr>
        <w:t>F24 Docker.</w:t>
      </w:r>
      <w:r>
        <w:t xml:space="preserve"> Multi platform builds. Variantes de imagens por sistema e arquitetura.</w:t>
      </w:r>
      <w:bookmarkEnd w:id="194"/>
    </w:p>
    <w:p>
      <w:pPr>
        <w:pStyle w:val="SourceURL"/>
      </w:pPr>
      <w:hyperlink r:id="rId33">
        <w:r>
          <w:rPr>
            <w:rFonts w:ascii="Nimbus Sans" w:hAnsi="Nimbus Sans"/>
            <w:color w:val="174A70"/>
            <w:sz w:val="18"/>
          </w:rPr>
          <w:t xml:space="preserve">https://docs.docker.com/build/building/multi-platform/</w:t>
        </w:r>
      </w:hyperlink>
    </w:p>
    <w:sectPr w:rsidR="00FC693F" w:rsidRPr="0006063C" w:rsidSect="00034616">
      <w:footerReference w:type="default" r:id="rId9"/>
      <w:pgSz w:w="12240" w:h="15840"/>
      <w:pgMar w:top="1037" w:right="1181" w:bottom="1037" w:left="1181"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78" w:val="right"/>
      </w:tabs>
      <w:spacing w:after="0"/>
    </w:pPr>
    <w:r>
      <w:rPr>
        <w:sz w:val="18"/>
      </w:rPr>
      <w:t>TriX | Normas de conceção | v0.1</w:t>
    </w:r>
    <w:r>
      <w:tab/>
    </w:r>
    <w:r>
      <w:rPr>
        <w:sz w:val="18"/>
      </w:rPr>
      <w:t xml:space="preserve">Página </w:t>
    </w:r>
    <w:r>
      <w:rPr>
        <w:sz w:val="18"/>
      </w:rPr>
      <w:fldChar w:fldCharType="begin"/>
      <w:instrText xml:space="preserve"> PAGE </w:instrText>
      <w:fldChar w:fldCharType="separate"/>
      <w:t>1</w:t>
      <w:fldChar w:fldCharType="end"/>
    </w:r>
    <w:r>
      <w:rPr>
        <w:sz w:val="18"/>
      </w:rPr>
      <w:t xml:space="preserve"> de </w:t>
    </w:r>
    <w:r>
      <w:rPr>
        <w:sz w:val="18"/>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pt-PT"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Nimbus Sans" w:hAnsi="Nimbus Sans" w:eastAsia="Nimbus Sans" w:cs="Nimbus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imbus Sans" w:hAnsi="Nimbus Sans" w:eastAsia="Nimbus Sans" w:cs="Nimbus Sans"/>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rPr>
      <w:rFonts w:ascii="Nimbus Sans" w:hAnsi="Nimbus Sans" w:eastAsia="Nimbus Sans" w:cs="Nimbus Sans"/>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80"/>
      <w:outlineLvl w:val="0"/>
    </w:pPr>
    <w:rPr>
      <w:rFonts w:asciiTheme="majorHAnsi" w:eastAsiaTheme="majorEastAsia" w:hAnsiTheme="majorHAnsi" w:cstheme="majorBidi" w:ascii="Nimbus Sans" w:hAnsi="Nimbus Sans" w:eastAsia="Nimbus Sans" w:cs="Nimbus Sans"/>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Nimbus Sans" w:hAnsi="Nimbus Sans" w:eastAsia="Nimbus Sans" w:cs="Nimbus Sans"/>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Nimbus Sans" w:hAnsi="Nimbus Sans" w:eastAsia="Nimbus Sans" w:cs="Nimbus San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Nimbus Sans" w:hAnsi="Nimbus Sans" w:eastAsia="Nimbus Sans" w:cs="Nimbus Sans"/>
      <w:b/>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Nimbus Sans" w:hAnsi="Nimbus Sans" w:eastAsia="Nimbus Sans" w:cs="Nimbus Sans"/>
      <w:i/>
      <w:iCs/>
      <w:color w:val="000000"/>
      <w:spacing w:val="15"/>
      <w:sz w:val="4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imbus Sans" w:hAnsi="Nimbus Sans" w:eastAsia="Nimbus Sans" w:cs="Nimbus San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
    <w:name w:val="Requirement"/>
    <w:basedOn w:val="Normal"/>
    <w:pPr>
      <w:keepLines/>
      <w:spacing w:after="140"/>
    </w:pPr>
    <w:rPr>
      <w:rFonts w:ascii="Nimbus Sans" w:hAnsi="Nimbus Sans"/>
      <w:color w:val="000000"/>
    </w:rPr>
  </w:style>
  <w:style w:type="paragraph" w:customStyle="1" w:styleId="Acceptance">
    <w:name w:val="Acceptance"/>
    <w:basedOn w:val="Normal"/>
    <w:pPr>
      <w:keepLines/>
      <w:spacing w:after="140"/>
    </w:pPr>
    <w:rPr>
      <w:rFonts w:ascii="Nimbus Sans" w:hAnsi="Nimbus Sans"/>
      <w:color w:val="000000"/>
    </w:rPr>
  </w:style>
  <w:style w:type="paragraph" w:customStyle="1" w:styleId="Code">
    <w:name w:val="Code"/>
    <w:basedOn w:val="Normal"/>
    <w:pPr>
      <w:keepLines/>
      <w:spacing w:line="252" w:lineRule="auto" w:after="0"/>
      <w:ind w:left="216"/>
    </w:pPr>
    <w:rPr>
      <w:rFonts w:ascii="DejaVu Sans Mono" w:hAnsi="DejaVu Sans Mono"/>
      <w:color w:val="000000"/>
      <w:sz w:val="18"/>
    </w:rPr>
  </w:style>
  <w:style w:type="paragraph" w:customStyle="1" w:styleId="Metadata">
    <w:name w:val="Metadata"/>
    <w:basedOn w:val="Normal"/>
    <w:pPr>
      <w:spacing w:after="360"/>
    </w:pPr>
    <w:rPr>
      <w:rFonts w:ascii="Nimbus Sans" w:hAnsi="Nimbus Sans"/>
      <w:color w:val="000000"/>
      <w:sz w:val="20"/>
    </w:rPr>
  </w:style>
  <w:style w:type="paragraph" w:customStyle="1" w:styleId="ContentsEntry">
    <w:name w:val="Contents Entry"/>
    <w:basedOn w:val="Normal"/>
    <w:pPr>
      <w:keepLines/>
      <w:tabs>
        <w:tab w:pos="9734" w:val="right"/>
      </w:tabs>
      <w:spacing w:after="100"/>
    </w:pPr>
    <w:rPr>
      <w:rFonts w:ascii="Nimbus Sans" w:hAnsi="Nimbus Sans"/>
      <w:color w:val="000000"/>
      <w:sz w:val="22"/>
    </w:rPr>
  </w:style>
  <w:style w:type="paragraph" w:customStyle="1" w:styleId="Source">
    <w:name w:val="Source"/>
    <w:basedOn w:val="Normal"/>
    <w:pPr>
      <w:keepNext/>
      <w:spacing w:line="259" w:lineRule="auto" w:after="40"/>
    </w:pPr>
    <w:rPr>
      <w:rFonts w:ascii="Nimbus Sans" w:hAnsi="Nimbus Sans"/>
      <w:color w:val="000000"/>
      <w:sz w:val="20"/>
    </w:rPr>
  </w:style>
  <w:style w:type="paragraph" w:customStyle="1" w:styleId="SourceURL">
    <w:name w:val="Source URL"/>
    <w:basedOn w:val="Normal"/>
    <w:pPr>
      <w:keepLines/>
      <w:spacing w:after="180" w:line="252" w:lineRule="auto"/>
    </w:pPr>
    <w:rPr>
      <w:rFonts w:ascii="Nimbus Sans" w:hAnsi="Nimbus Sans"/>
      <w:color w:val="000000"/>
      <w:sz w:val="18"/>
    </w:rPr>
  </w:style>
  <w:style w:type="paragraph" w:customStyle="1" w:styleId="Tabletext">
    <w:name w:val="Table text"/>
    <w:basedOn w:val="Normal"/>
    <w:pPr>
      <w:widowControl/>
      <w:spacing w:line="259" w:lineRule="auto" w:before="0" w:after="0"/>
    </w:pPr>
    <w:rPr>
      <w:rFonts w:ascii="Nimbus Sans" w:hAnsi="Nimbus Sans"/>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rust-lang.org/book/ch04-00-understanding-ownership.html" TargetMode="External"/><Relationship Id="rId11" Type="http://schemas.openxmlformats.org/officeDocument/2006/relationships/hyperlink" Target="https://docs.python.org/3/tutorial/" TargetMode="External"/><Relationship Id="rId12" Type="http://schemas.openxmlformats.org/officeDocument/2006/relationships/hyperlink" Target="https://docs.swift.org/swift-book/LanguageGuide/Concurrency.html" TargetMode="External"/><Relationship Id="rId13" Type="http://schemas.openxmlformats.org/officeDocument/2006/relationships/hyperlink" Target="https://doc.rust-lang.org/rustc/platform-support.html" TargetMode="External"/><Relationship Id="rId14" Type="http://schemas.openxmlformats.org/officeDocument/2006/relationships/hyperlink" Target="https://developer.android.com/ndk/guides/abis" TargetMode="External"/><Relationship Id="rId15" Type="http://schemas.openxmlformats.org/officeDocument/2006/relationships/hyperlink" Target="https://learn.microsoft.com/en-us/windows/arm/add-arm-support" TargetMode="External"/><Relationship Id="rId16" Type="http://schemas.openxmlformats.org/officeDocument/2006/relationships/hyperlink" Target="https://developer.apple.com/videos/play/wwdc2025/227/" TargetMode="External"/><Relationship Id="rId17" Type="http://schemas.openxmlformats.org/officeDocument/2006/relationships/hyperlink" Target="https://developer.android.com/develop/background-work/background-tasks" TargetMode="External"/><Relationship Id="rId18" Type="http://schemas.openxmlformats.org/officeDocument/2006/relationships/hyperlink" Target="https://github.com/ml-explore/mlx" TargetMode="External"/><Relationship Id="rId19" Type="http://schemas.openxmlformats.org/officeDocument/2006/relationships/hyperlink" Target="https://developer.apple.com/videos/play/wwdc2022/10027/" TargetMode="External"/><Relationship Id="rId20" Type="http://schemas.openxmlformats.org/officeDocument/2006/relationships/hyperlink" Target="https://docs.nvidia.com/cuda/cuda-installation-guide-linux/" TargetMode="External"/><Relationship Id="rId21" Type="http://schemas.openxmlformats.org/officeDocument/2006/relationships/hyperlink" Target="https://rocm.docs.amd.com/en/latest/compatibility/compatibility-matrix.html" TargetMode="External"/><Relationship Id="rId22" Type="http://schemas.openxmlformats.org/officeDocument/2006/relationships/hyperlink" Target="https://docs.habana.ai/en/latest/Gaudi_Overview/Intel_Gaudi_Software_Suite.html" TargetMode="External"/><Relationship Id="rId23" Type="http://schemas.openxmlformats.org/officeDocument/2006/relationships/hyperlink" Target="https://docs.openvino.ai/2026/about-openvino/release-notes-openvino/system-requirements.html" TargetMode="External"/><Relationship Id="rId24" Type="http://schemas.openxmlformats.org/officeDocument/2006/relationships/hyperlink" Target="https://kubernetes.io/docs/tasks/manage-gpus/scheduling-gpus/" TargetMode="External"/><Relationship Id="rId25" Type="http://schemas.openxmlformats.org/officeDocument/2006/relationships/hyperlink" Target="https://slurm.schedmd.com/gres.html" TargetMode="External"/><Relationship Id="rId26" Type="http://schemas.openxmlformats.org/officeDocument/2006/relationships/hyperlink" Target="https://onnxruntime.ai/docs/execution-providers/QNN-ExecutionProvider.html" TargetMode="External"/><Relationship Id="rId27" Type="http://schemas.openxmlformats.org/officeDocument/2006/relationships/hyperlink" Target="https://docs.jax.dev/en/latest/installation.html" TargetMode="External"/><Relationship Id="rId28" Type="http://schemas.openxmlformats.org/officeDocument/2006/relationships/hyperlink" Target="https://awsdocs-neuron.readthedocs-hosted.com/en/latest/about-neuron/what-is-neuron.html" TargetMode="External"/><Relationship Id="rId29" Type="http://schemas.openxmlformats.org/officeDocument/2006/relationships/hyperlink" Target="https://developer.nvidia.com/nccl" TargetMode="External"/><Relationship Id="rId30" Type="http://schemas.openxmlformats.org/officeDocument/2006/relationships/hyperlink" Target="https://rocm.docs.amd.com/projects/rccl/en/latest/" TargetMode="External"/><Relationship Id="rId31" Type="http://schemas.openxmlformats.org/officeDocument/2006/relationships/hyperlink" Target="https://openxla.org/xla/pjrt" TargetMode="External"/><Relationship Id="rId32" Type="http://schemas.openxmlformats.org/officeDocument/2006/relationships/hyperlink" Target="https://packaging.python.org/en/latest/specifications/platform-compatibility-tags/" TargetMode="External"/><Relationship Id="rId33" Type="http://schemas.openxmlformats.org/officeDocument/2006/relationships/hyperlink" Target="https://docs.docker.com/build/building/multi-plat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TriX Normas para a conceção da linguagem e da plataforma de execução</dc:title>
  <dc:subject>Requisitos de conceção e critérios de aceitação da TriX</dc:subject>
  <dc:creator>Projeto TriX</dc:creator>
  <cp:keywords>TriX, linguagem, requisitos, clusters, plataformas, conformidade</cp:keywords>
  <dc:description/>
  <cp:lastModifiedBy/>
  <cp:revision>1</cp:revision>
  <dcterms:created xsi:type="dcterms:W3CDTF">2013-12-23T23:15:00Z</dcterms:created>
  <dcterms:modified xsi:type="dcterms:W3CDTF">2013-12-23T23:15:00Z</dcterms:modified>
  <cp:category/>
  <cp:version>0.1</cp:version>
</cp:coreProperties>
</file>