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22B7" w14:textId="77777777" w:rsidR="00F654F7" w:rsidRPr="00F654F7" w:rsidRDefault="00F654F7" w:rsidP="00F654F7">
      <w:pPr>
        <w:rPr>
          <w:b/>
          <w:bCs/>
        </w:rPr>
      </w:pPr>
      <w:r w:rsidRPr="00F654F7">
        <w:rPr>
          <w:b/>
          <w:bCs/>
        </w:rPr>
        <w:t>Chapter 2: Background &amp; Context</w:t>
      </w:r>
    </w:p>
    <w:p w14:paraId="6FD5B586" w14:textId="77777777" w:rsidR="00F654F7" w:rsidRPr="00F654F7" w:rsidRDefault="00F654F7" w:rsidP="00F654F7">
      <w:pPr>
        <w:rPr>
          <w:b/>
          <w:bCs/>
        </w:rPr>
      </w:pPr>
      <w:r w:rsidRPr="00F654F7">
        <w:rPr>
          <w:b/>
          <w:bCs/>
        </w:rPr>
        <w:t>2.1 Introduction</w:t>
      </w:r>
    </w:p>
    <w:p w14:paraId="11F9BFF1" w14:textId="451FDAC3" w:rsidR="003961D7" w:rsidRPr="00F654F7" w:rsidRDefault="00172D44" w:rsidP="00172D44">
      <w:pPr>
        <w:jc w:val="both"/>
      </w:pPr>
      <w:r>
        <w:t>The London Underground forms the backbone of the capital's economy, usually facilitating around 1.3 billion journeys each year. The network must handle both the challenges posed by the pre-pandemic capacity crunch and the ongoing post-pandemic recovery. This chapter discusses the operational context of the network, the data ecosystem that supports this analysis, and the machine learning techniques used to classify stations based on their behaviours.</w:t>
      </w:r>
    </w:p>
    <w:p w14:paraId="7AF10663" w14:textId="77777777" w:rsidR="00F654F7" w:rsidRPr="00F654F7" w:rsidRDefault="00F654F7" w:rsidP="00F654F7">
      <w:pPr>
        <w:rPr>
          <w:b/>
          <w:bCs/>
        </w:rPr>
      </w:pPr>
      <w:r w:rsidRPr="00F654F7">
        <w:rPr>
          <w:b/>
          <w:bCs/>
        </w:rPr>
        <w:t>2.2 Domain Context: The Capacity Crisis &amp; Recovery</w:t>
      </w:r>
    </w:p>
    <w:p w14:paraId="0B8EF689" w14:textId="0B8DD49B" w:rsidR="00F654F7" w:rsidRPr="00F654F7" w:rsidRDefault="003E14C2" w:rsidP="00F654F7">
      <w:r>
        <w:t>Transport for London’s primary challenge was managing</w:t>
      </w:r>
      <w:r w:rsidR="00172D44">
        <w:t xml:space="preserve"> excess demand</w:t>
      </w:r>
      <w:r>
        <w:t xml:space="preserve"> prior to the pandemic</w:t>
      </w:r>
      <w:r w:rsidR="00F654F7" w:rsidRPr="00F654F7">
        <w:t xml:space="preserve">. Research indicates that the relationship between passenger crowding and service reliability is </w:t>
      </w:r>
      <w:r w:rsidR="00F654F7" w:rsidRPr="00F654F7">
        <w:rPr>
          <w:b/>
          <w:bCs/>
        </w:rPr>
        <w:t>non-linear</w:t>
      </w:r>
      <w:r w:rsidR="00F654F7" w:rsidRPr="00F654F7">
        <w:t>; a small increase in passengers beyond capacity disproportionately degrades the user experience and increases "Lost Customer Hours" (LCH) due to extended dwell times at stations.</w:t>
      </w:r>
    </w:p>
    <w:p w14:paraId="06948EE9" w14:textId="77777777" w:rsidR="00F654F7" w:rsidRPr="00F654F7" w:rsidRDefault="00F654F7" w:rsidP="00F654F7">
      <w:r w:rsidRPr="00F654F7">
        <w:t xml:space="preserve">The post-pandemic landscape presents a different analytical challenge. According to the </w:t>
      </w:r>
      <w:r w:rsidRPr="00F654F7">
        <w:rPr>
          <w:i/>
          <w:iCs/>
        </w:rPr>
        <w:t>Travel in London Report 16</w:t>
      </w:r>
      <w:r w:rsidRPr="00F654F7">
        <w:t xml:space="preserve">, while road traffic had recovered to 92% of pre-pandemic levels by late 2023, public transport demand lagged at approximately </w:t>
      </w:r>
      <w:r w:rsidRPr="00F654F7">
        <w:rPr>
          <w:b/>
          <w:bCs/>
        </w:rPr>
        <w:t>84%</w:t>
      </w:r>
      <w:r w:rsidRPr="00F654F7">
        <w:t>. Crucially, this recovery is not uniform. The "return to office" trends have altered the traditional "Commuter" profiles of stations like Bank and Canary Wharf, creating a gap in our understanding of the network's new topology. This project addresses the need to re-evaluate station behaviours in this new era.</w:t>
      </w:r>
    </w:p>
    <w:p w14:paraId="0C3B2969" w14:textId="77777777" w:rsidR="00F654F7" w:rsidRPr="00F654F7" w:rsidRDefault="00F654F7" w:rsidP="00F654F7">
      <w:pPr>
        <w:rPr>
          <w:b/>
          <w:bCs/>
        </w:rPr>
      </w:pPr>
      <w:r w:rsidRPr="00F654F7">
        <w:rPr>
          <w:b/>
          <w:bCs/>
        </w:rPr>
        <w:t>2.3 Data Context: The Value of Open Data</w:t>
      </w:r>
    </w:p>
    <w:p w14:paraId="54B04D6D" w14:textId="77777777" w:rsidR="00F654F7" w:rsidRPr="00F654F7" w:rsidRDefault="00F654F7" w:rsidP="00F654F7">
      <w:r w:rsidRPr="00F654F7">
        <w:t xml:space="preserve">The feasibility of this retrospective analysis is underpinned by TfL’s "Open Data" initiative, launched in 2010. A seminal report by Deloitte evaluated the economic impact of this transparency, estimating that it generates approximately </w:t>
      </w:r>
      <w:r w:rsidRPr="00F654F7">
        <w:rPr>
          <w:b/>
          <w:bCs/>
        </w:rPr>
        <w:t>£130 million per year</w:t>
      </w:r>
      <w:r w:rsidRPr="00F654F7">
        <w:t xml:space="preserve"> in economic benefits and savings for London.</w:t>
      </w:r>
    </w:p>
    <w:p w14:paraId="0A9735DA" w14:textId="77777777" w:rsidR="00F654F7" w:rsidRPr="00F654F7" w:rsidRDefault="00F654F7" w:rsidP="00F654F7">
      <w:r w:rsidRPr="00F654F7">
        <w:t xml:space="preserve">While this initiative has fostered a thriving ecosystem of consumer-facing applications (such as </w:t>
      </w:r>
      <w:proofErr w:type="spellStart"/>
      <w:r w:rsidRPr="00F654F7">
        <w:t>Citymapper</w:t>
      </w:r>
      <w:proofErr w:type="spellEnd"/>
      <w:r w:rsidRPr="00F654F7">
        <w:t xml:space="preserve"> and Google Maps), these tools predominantly focus on </w:t>
      </w:r>
      <w:r w:rsidRPr="00F654F7">
        <w:rPr>
          <w:i/>
          <w:iCs/>
        </w:rPr>
        <w:t>individual</w:t>
      </w:r>
      <w:r w:rsidRPr="00F654F7">
        <w:t xml:space="preserve"> journey planning. There remains a significant lack of accessible, aggregate analysis tools that allow planners to visualise long-term structural changes across the decade. By leveraging the London Datastore's historical archives, this project bridges the gap between raw data availability and strategic insight.</w:t>
      </w:r>
    </w:p>
    <w:p w14:paraId="65F9AB35" w14:textId="77777777" w:rsidR="00F654F7" w:rsidRPr="00F654F7" w:rsidRDefault="00F654F7" w:rsidP="00F654F7">
      <w:pPr>
        <w:rPr>
          <w:b/>
          <w:bCs/>
        </w:rPr>
      </w:pPr>
      <w:r w:rsidRPr="00F654F7">
        <w:rPr>
          <w:b/>
          <w:bCs/>
        </w:rPr>
        <w:t>2.4 Technical Context: Station Classification via Clustering</w:t>
      </w:r>
    </w:p>
    <w:p w14:paraId="362A073E" w14:textId="77777777" w:rsidR="00F654F7" w:rsidRPr="00F654F7" w:rsidRDefault="00F654F7" w:rsidP="00F654F7">
      <w:r w:rsidRPr="00F654F7">
        <w:t xml:space="preserve">To analyse the changing "personality" of stations, traditional descriptive statistics (such as ranking stations purely by total volume) are insufficient. They fail to capture temporal </w:t>
      </w:r>
      <w:r w:rsidRPr="00F654F7">
        <w:lastRenderedPageBreak/>
        <w:t>nuances, such as the difference between a "Commuter Hub" (peak-heavy) and a "Tourist Hub" (weekend-heavy).</w:t>
      </w:r>
    </w:p>
    <w:p w14:paraId="05649A16" w14:textId="77777777" w:rsidR="00F654F7" w:rsidRPr="00F654F7" w:rsidRDefault="00F654F7" w:rsidP="00F654F7">
      <w:r w:rsidRPr="00F654F7">
        <w:t xml:space="preserve">This project utilises </w:t>
      </w:r>
      <w:r w:rsidRPr="00F654F7">
        <w:rPr>
          <w:b/>
          <w:bCs/>
        </w:rPr>
        <w:t>K-Means Clustering</w:t>
      </w:r>
      <w:r w:rsidRPr="00F654F7">
        <w:t>, an unsupervised machine learning algorithm. Academic literature confirms K-Means as a "predominant choice" for identifying urban rail transit station types. Recent studies have successfully applied this method to classify metro stations into functional groups (e.g., employment-oriented vs. residential-oriented) based on passenger flow data. By applying this proven methodology to the unique TfL dataset, we can mathematically segment the network into behavioural clusters rather than simple geographical ones.</w:t>
      </w:r>
    </w:p>
    <w:p w14:paraId="7F77F92F" w14:textId="77777777" w:rsidR="00F654F7" w:rsidRPr="00F654F7" w:rsidRDefault="00F654F7" w:rsidP="00F654F7">
      <w:pPr>
        <w:rPr>
          <w:b/>
          <w:bCs/>
        </w:rPr>
      </w:pPr>
      <w:r w:rsidRPr="00F654F7">
        <w:rPr>
          <w:b/>
          <w:bCs/>
        </w:rPr>
        <w:t>2.5 Conclusion</w:t>
      </w:r>
    </w:p>
    <w:p w14:paraId="389F6CF2" w14:textId="77777777" w:rsidR="00F654F7" w:rsidRPr="00F654F7" w:rsidRDefault="00F654F7" w:rsidP="00F654F7">
      <w:r w:rsidRPr="00F654F7">
        <w:t xml:space="preserve">The literature confirms that while data is plentiful (Deloitte, 2017) and the problem is acute (TfL, 2023), there is a specific gap in retrospective clustering analysis. Existing tools tell us </w:t>
      </w:r>
      <w:r w:rsidRPr="00F654F7">
        <w:rPr>
          <w:i/>
          <w:iCs/>
        </w:rPr>
        <w:t>how</w:t>
      </w:r>
      <w:r w:rsidRPr="00F654F7">
        <w:t xml:space="preserve"> to get from A to B, but they do not tell us </w:t>
      </w:r>
      <w:r w:rsidRPr="00F654F7">
        <w:rPr>
          <w:i/>
          <w:iCs/>
        </w:rPr>
        <w:t>what</w:t>
      </w:r>
      <w:r w:rsidRPr="00F654F7">
        <w:t xml:space="preserve"> Station A has become in the post-pandemic city. This project aims to fill that analytical void.</w:t>
      </w:r>
    </w:p>
    <w:p w14:paraId="572356E8" w14:textId="77777777" w:rsidR="00F654F7" w:rsidRPr="00F654F7" w:rsidRDefault="00F654F7" w:rsidP="00F654F7">
      <w:r w:rsidRPr="00F654F7">
        <w:pict w14:anchorId="21440C50">
          <v:rect id="_x0000_i1031" style="width:0;height:1.5pt" o:hralign="center" o:hrstd="t" o:hr="t" fillcolor="#a0a0a0" stroked="f"/>
        </w:pict>
      </w:r>
    </w:p>
    <w:p w14:paraId="01C9D7B4" w14:textId="77777777" w:rsidR="00F654F7" w:rsidRPr="00F654F7" w:rsidRDefault="00F654F7" w:rsidP="00F654F7">
      <w:pPr>
        <w:rPr>
          <w:b/>
          <w:bCs/>
        </w:rPr>
      </w:pPr>
      <w:r w:rsidRPr="00F654F7">
        <w:rPr>
          <w:b/>
          <w:bCs/>
        </w:rPr>
        <w:t>Reference List (Harvard Style)</w:t>
      </w:r>
    </w:p>
    <w:p w14:paraId="3764CA91" w14:textId="77777777" w:rsidR="00F654F7" w:rsidRPr="00F654F7" w:rsidRDefault="00F654F7" w:rsidP="00F654F7">
      <w:r w:rsidRPr="00F654F7">
        <w:rPr>
          <w:i/>
          <w:iCs/>
        </w:rPr>
        <w:t>Copy this into your Bibliography section at the end of your report.</w:t>
      </w:r>
    </w:p>
    <w:p w14:paraId="30BBDCAB" w14:textId="77777777" w:rsidR="00F654F7" w:rsidRPr="00F654F7" w:rsidRDefault="00F654F7" w:rsidP="00F654F7">
      <w:pPr>
        <w:numPr>
          <w:ilvl w:val="0"/>
          <w:numId w:val="1"/>
        </w:numPr>
      </w:pPr>
      <w:r w:rsidRPr="00F654F7">
        <w:rPr>
          <w:b/>
          <w:bCs/>
        </w:rPr>
        <w:t>Deloitte</w:t>
      </w:r>
      <w:r w:rsidRPr="00F654F7">
        <w:t xml:space="preserve"> (2017). </w:t>
      </w:r>
      <w:r w:rsidRPr="00F654F7">
        <w:rPr>
          <w:i/>
          <w:iCs/>
        </w:rPr>
        <w:t>Assessing the value of TfL’s open data and digital partnerships</w:t>
      </w:r>
      <w:r w:rsidRPr="00F654F7">
        <w:t xml:space="preserve">. London: Transport for London. Available at: </w:t>
      </w:r>
      <w:hyperlink r:id="rId5" w:tgtFrame="_blank" w:history="1">
        <w:r w:rsidRPr="00F654F7">
          <w:rPr>
            <w:rStyle w:val="Hyperlink"/>
          </w:rPr>
          <w:t>https://content.tfl.gov.uk/deloitte-report-tfl-open-data.pdf</w:t>
        </w:r>
      </w:hyperlink>
      <w:r w:rsidRPr="00F654F7">
        <w:t xml:space="preserve"> (Accessed: 15 December 2025).</w:t>
      </w:r>
    </w:p>
    <w:p w14:paraId="320D5B3F" w14:textId="77777777" w:rsidR="00F654F7" w:rsidRPr="00F654F7" w:rsidRDefault="00F654F7" w:rsidP="00F654F7">
      <w:pPr>
        <w:numPr>
          <w:ilvl w:val="0"/>
          <w:numId w:val="1"/>
        </w:numPr>
      </w:pPr>
      <w:r w:rsidRPr="00F654F7">
        <w:rPr>
          <w:b/>
          <w:bCs/>
        </w:rPr>
        <w:t>TfL</w:t>
      </w:r>
      <w:r w:rsidRPr="00F654F7">
        <w:t xml:space="preserve"> (2023). </w:t>
      </w:r>
      <w:r w:rsidRPr="00F654F7">
        <w:rPr>
          <w:i/>
          <w:iCs/>
        </w:rPr>
        <w:t>Travel in London Report 16</w:t>
      </w:r>
      <w:r w:rsidRPr="00F654F7">
        <w:t xml:space="preserve">. London: Transport for London. Available at: </w:t>
      </w:r>
      <w:hyperlink r:id="rId6" w:tgtFrame="_blank" w:history="1">
        <w:r w:rsidRPr="00F654F7">
          <w:rPr>
            <w:rStyle w:val="Hyperlink"/>
          </w:rPr>
          <w:t>https://content.tfl.gov.uk/travel-in-london-2023-annual-overview-acc.pdf</w:t>
        </w:r>
      </w:hyperlink>
      <w:r w:rsidRPr="00F654F7">
        <w:t xml:space="preserve"> (Accessed: 15 December 2025).</w:t>
      </w:r>
    </w:p>
    <w:p w14:paraId="45725288" w14:textId="77777777" w:rsidR="00F654F7" w:rsidRPr="00F654F7" w:rsidRDefault="00F654F7" w:rsidP="00F654F7">
      <w:pPr>
        <w:numPr>
          <w:ilvl w:val="0"/>
          <w:numId w:val="1"/>
        </w:numPr>
      </w:pPr>
      <w:proofErr w:type="spellStart"/>
      <w:r w:rsidRPr="00F654F7">
        <w:rPr>
          <w:b/>
          <w:bCs/>
        </w:rPr>
        <w:t>Tirachini</w:t>
      </w:r>
      <w:proofErr w:type="spellEnd"/>
      <w:r w:rsidRPr="00F654F7">
        <w:rPr>
          <w:b/>
          <w:bCs/>
        </w:rPr>
        <w:t>, A., et al.</w:t>
      </w:r>
      <w:r w:rsidRPr="00F654F7">
        <w:t xml:space="preserve"> (2019). 'The underlying effect of public transport reliability on users' satisfaction', </w:t>
      </w:r>
      <w:r w:rsidRPr="00F654F7">
        <w:rPr>
          <w:i/>
          <w:iCs/>
        </w:rPr>
        <w:t>Transportation Research Part A: Policy and Practice</w:t>
      </w:r>
      <w:r w:rsidRPr="00F654F7">
        <w:t>, 133, pp. 1-20.</w:t>
      </w:r>
    </w:p>
    <w:p w14:paraId="4DD512A8" w14:textId="77777777" w:rsidR="00F654F7" w:rsidRPr="00F654F7" w:rsidRDefault="00F654F7" w:rsidP="00F654F7">
      <w:pPr>
        <w:numPr>
          <w:ilvl w:val="0"/>
          <w:numId w:val="1"/>
        </w:numPr>
      </w:pPr>
      <w:r w:rsidRPr="00F654F7">
        <w:rPr>
          <w:b/>
          <w:bCs/>
        </w:rPr>
        <w:t>Zhang, Y. and Wang, J.</w:t>
      </w:r>
      <w:r w:rsidRPr="00F654F7">
        <w:t xml:space="preserve"> (2023). 'Urban Rail Transit Station Type Identification Based on “Passenger Flow—Land Use—Job-Housing”', </w:t>
      </w:r>
      <w:r w:rsidRPr="00F654F7">
        <w:rPr>
          <w:i/>
          <w:iCs/>
        </w:rPr>
        <w:t>Sustainability</w:t>
      </w:r>
      <w:r w:rsidRPr="00F654F7">
        <w:t xml:space="preserve">, 15(20). Available at: </w:t>
      </w:r>
      <w:hyperlink r:id="rId7" w:tgtFrame="_blank" w:history="1">
        <w:r w:rsidRPr="00F654F7">
          <w:rPr>
            <w:rStyle w:val="Hyperlink"/>
          </w:rPr>
          <w:t>https://www.mdpi.com/2071-1050/15/20/15103</w:t>
        </w:r>
      </w:hyperlink>
      <w:r w:rsidRPr="00F654F7">
        <w:t>.</w:t>
      </w:r>
    </w:p>
    <w:p w14:paraId="02399C6A" w14:textId="77777777" w:rsidR="00F654F7" w:rsidRPr="00F654F7" w:rsidRDefault="00F654F7" w:rsidP="00F654F7">
      <w:pPr>
        <w:numPr>
          <w:ilvl w:val="0"/>
          <w:numId w:val="1"/>
        </w:numPr>
      </w:pPr>
      <w:r w:rsidRPr="00F654F7">
        <w:rPr>
          <w:b/>
          <w:bCs/>
        </w:rPr>
        <w:t>Li, J., et al.</w:t>
      </w:r>
      <w:r w:rsidRPr="00F654F7">
        <w:t xml:space="preserve"> (2016). 'Metro Stations Classification Based on Clustering Analysis—A Case Study of Beijing Metro', </w:t>
      </w:r>
      <w:r w:rsidRPr="00F654F7">
        <w:rPr>
          <w:i/>
          <w:iCs/>
        </w:rPr>
        <w:t>Transportation Research Procedia</w:t>
      </w:r>
      <w:r w:rsidRPr="00F654F7">
        <w:t>, 25, pp. 100-110.</w:t>
      </w:r>
    </w:p>
    <w:p w14:paraId="79A2ADEC" w14:textId="77777777" w:rsidR="001056B7" w:rsidRDefault="001056B7"/>
    <w:sectPr w:rsidR="001056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0578F"/>
    <w:multiLevelType w:val="multilevel"/>
    <w:tmpl w:val="7FA4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564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B7"/>
    <w:rsid w:val="001056B7"/>
    <w:rsid w:val="00172D44"/>
    <w:rsid w:val="003961D7"/>
    <w:rsid w:val="003E14C2"/>
    <w:rsid w:val="005355FB"/>
    <w:rsid w:val="00A833A0"/>
    <w:rsid w:val="00F654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34454F"/>
  <w15:chartTrackingRefBased/>
  <w15:docId w15:val="{C62F3321-A64D-45DD-9828-7F2826AF3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6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6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6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6B7"/>
    <w:rPr>
      <w:rFonts w:eastAsiaTheme="majorEastAsia" w:cstheme="majorBidi"/>
      <w:color w:val="272727" w:themeColor="text1" w:themeTint="D8"/>
    </w:rPr>
  </w:style>
  <w:style w:type="paragraph" w:styleId="Title">
    <w:name w:val="Title"/>
    <w:basedOn w:val="Normal"/>
    <w:next w:val="Normal"/>
    <w:link w:val="TitleChar"/>
    <w:uiPriority w:val="10"/>
    <w:qFormat/>
    <w:rsid w:val="00105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6B7"/>
    <w:pPr>
      <w:spacing w:before="160"/>
      <w:jc w:val="center"/>
    </w:pPr>
    <w:rPr>
      <w:i/>
      <w:iCs/>
      <w:color w:val="404040" w:themeColor="text1" w:themeTint="BF"/>
    </w:rPr>
  </w:style>
  <w:style w:type="character" w:customStyle="1" w:styleId="QuoteChar">
    <w:name w:val="Quote Char"/>
    <w:basedOn w:val="DefaultParagraphFont"/>
    <w:link w:val="Quote"/>
    <w:uiPriority w:val="29"/>
    <w:rsid w:val="001056B7"/>
    <w:rPr>
      <w:i/>
      <w:iCs/>
      <w:color w:val="404040" w:themeColor="text1" w:themeTint="BF"/>
    </w:rPr>
  </w:style>
  <w:style w:type="paragraph" w:styleId="ListParagraph">
    <w:name w:val="List Paragraph"/>
    <w:basedOn w:val="Normal"/>
    <w:uiPriority w:val="34"/>
    <w:qFormat/>
    <w:rsid w:val="001056B7"/>
    <w:pPr>
      <w:ind w:left="720"/>
      <w:contextualSpacing/>
    </w:pPr>
  </w:style>
  <w:style w:type="character" w:styleId="IntenseEmphasis">
    <w:name w:val="Intense Emphasis"/>
    <w:basedOn w:val="DefaultParagraphFont"/>
    <w:uiPriority w:val="21"/>
    <w:qFormat/>
    <w:rsid w:val="001056B7"/>
    <w:rPr>
      <w:i/>
      <w:iCs/>
      <w:color w:val="0F4761" w:themeColor="accent1" w:themeShade="BF"/>
    </w:rPr>
  </w:style>
  <w:style w:type="paragraph" w:styleId="IntenseQuote">
    <w:name w:val="Intense Quote"/>
    <w:basedOn w:val="Normal"/>
    <w:next w:val="Normal"/>
    <w:link w:val="IntenseQuoteChar"/>
    <w:uiPriority w:val="30"/>
    <w:qFormat/>
    <w:rsid w:val="00105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6B7"/>
    <w:rPr>
      <w:i/>
      <w:iCs/>
      <w:color w:val="0F4761" w:themeColor="accent1" w:themeShade="BF"/>
    </w:rPr>
  </w:style>
  <w:style w:type="character" w:styleId="IntenseReference">
    <w:name w:val="Intense Reference"/>
    <w:basedOn w:val="DefaultParagraphFont"/>
    <w:uiPriority w:val="32"/>
    <w:qFormat/>
    <w:rsid w:val="001056B7"/>
    <w:rPr>
      <w:b/>
      <w:bCs/>
      <w:smallCaps/>
      <w:color w:val="0F4761" w:themeColor="accent1" w:themeShade="BF"/>
      <w:spacing w:val="5"/>
    </w:rPr>
  </w:style>
  <w:style w:type="character" w:styleId="Hyperlink">
    <w:name w:val="Hyperlink"/>
    <w:basedOn w:val="DefaultParagraphFont"/>
    <w:uiPriority w:val="99"/>
    <w:unhideWhenUsed/>
    <w:rsid w:val="00F654F7"/>
    <w:rPr>
      <w:color w:val="467886" w:themeColor="hyperlink"/>
      <w:u w:val="single"/>
    </w:rPr>
  </w:style>
  <w:style w:type="character" w:styleId="UnresolvedMention">
    <w:name w:val="Unresolved Mention"/>
    <w:basedOn w:val="DefaultParagraphFont"/>
    <w:uiPriority w:val="99"/>
    <w:semiHidden/>
    <w:unhideWhenUsed/>
    <w:rsid w:val="00F654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dpi.com/2071-1050/15/20/151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tent.tfl.gov.uk/travel-in-london-2023-annual-overview-acc.pdf" TargetMode="External"/><Relationship Id="rId5" Type="http://schemas.openxmlformats.org/officeDocument/2006/relationships/hyperlink" Target="https://content.tfl.gov.uk/deloitte-report-tfl-open-data.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1</Pages>
  <Words>680</Words>
  <Characters>4216</Characters>
  <Application>Microsoft Office Word</Application>
  <DocSecurity>0</DocSecurity>
  <Lines>70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UG-Faisal, Mohammad</dc:creator>
  <cp:keywords/>
  <dc:description/>
  <cp:lastModifiedBy>UG-Faisal, Mohammad</cp:lastModifiedBy>
  <cp:revision>3</cp:revision>
  <dcterms:created xsi:type="dcterms:W3CDTF">2025-12-15T10:52:00Z</dcterms:created>
  <dcterms:modified xsi:type="dcterms:W3CDTF">2025-12-15T20:17:00Z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9081c2db-fa3a-40dd-9288-40b9e0e868b0</vt:lpwstr>
  </property>
</Properties>
</file>