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5608" w14:textId="77777777" w:rsidR="002E33CB" w:rsidRPr="005C2063" w:rsidRDefault="002E33CB">
      <w:pPr>
        <w:spacing w:before="2200"/>
        <w:rPr>
          <w:b/>
          <w:bCs/>
          <w:color w:val="0E2A47"/>
          <w:sz w:val="44"/>
          <w:szCs w:val="44"/>
        </w:rPr>
      </w:pPr>
    </w:p>
    <w:p w14:paraId="65B54E44" w14:textId="77777777" w:rsidR="002E33CB" w:rsidRPr="005C2063" w:rsidRDefault="005C2063">
      <w:pPr>
        <w:jc w:val="center"/>
        <w:rPr>
          <w:b/>
          <w:bCs/>
          <w:color w:val="0E2A47"/>
          <w:sz w:val="44"/>
          <w:szCs w:val="44"/>
        </w:rPr>
      </w:pPr>
      <w:r w:rsidRPr="005C2063">
        <w:rPr>
          <w:b/>
          <w:bCs/>
          <w:color w:val="0E2A47"/>
          <w:sz w:val="44"/>
          <w:szCs w:val="44"/>
        </w:rPr>
        <w:t>New World Telecom</w:t>
      </w:r>
    </w:p>
    <w:p w14:paraId="77886CFA" w14:textId="77777777" w:rsidR="002E33CB" w:rsidRDefault="00000000">
      <w:pPr>
        <w:spacing w:before="200" w:after="200"/>
        <w:jc w:val="center"/>
      </w:pPr>
      <w:r>
        <w:rPr>
          <w:b/>
          <w:bCs/>
          <w:color w:val="0E2A47"/>
          <w:sz w:val="44"/>
          <w:szCs w:val="44"/>
        </w:rPr>
        <w:t>Sistema de Control Presupuestario y KPIs Financieros</w:t>
      </w:r>
    </w:p>
    <w:p w14:paraId="47C9B0B3" w14:textId="77777777" w:rsidR="002E33CB" w:rsidRDefault="00000000">
      <w:pPr>
        <w:spacing w:after="800"/>
        <w:jc w:val="center"/>
      </w:pPr>
      <w:r>
        <w:rPr>
          <w:i/>
          <w:iCs/>
          <w:color w:val="595959"/>
          <w:sz w:val="24"/>
          <w:szCs w:val="24"/>
        </w:rPr>
        <w:t>Informe técnico del proyecto — de la limpieza de datos al forecast 2026</w:t>
      </w:r>
    </w:p>
    <w:p w14:paraId="1F8CA2DD" w14:textId="77777777" w:rsidR="002E33CB" w:rsidRDefault="00000000">
      <w:pPr>
        <w:spacing w:before="1600"/>
        <w:jc w:val="center"/>
      </w:pPr>
      <w:r>
        <w:rPr>
          <w:color w:val="262626"/>
        </w:rPr>
        <w:t>Proyecto final — Data Analyst con IA Aplicada</w:t>
      </w:r>
    </w:p>
    <w:p w14:paraId="7150B7F9" w14:textId="77777777" w:rsidR="002E33CB" w:rsidRDefault="00000000">
      <w:pPr>
        <w:spacing w:before="100"/>
        <w:jc w:val="center"/>
      </w:pPr>
      <w:r>
        <w:rPr>
          <w:color w:val="262626"/>
        </w:rPr>
        <w:t>Autor: Maikol Ferman</w:t>
      </w:r>
    </w:p>
    <w:p w14:paraId="40AEB46F" w14:textId="77777777" w:rsidR="002E33CB" w:rsidRDefault="00000000">
      <w:pPr>
        <w:spacing w:before="100"/>
        <w:jc w:val="center"/>
      </w:pPr>
      <w:r>
        <w:rPr>
          <w:color w:val="595959"/>
        </w:rPr>
        <w:t>Alicante, España — Agosto 2026</w:t>
      </w:r>
    </w:p>
    <w:p w14:paraId="094CCC3C" w14:textId="77777777" w:rsidR="002E33CB" w:rsidRDefault="00000000">
      <w:r>
        <w:br w:type="page"/>
      </w:r>
    </w:p>
    <w:p w14:paraId="6243DF54" w14:textId="77777777" w:rsidR="002E33CB" w:rsidRDefault="00000000">
      <w:pPr>
        <w:pStyle w:val="Ttulo1"/>
      </w:pPr>
      <w:r>
        <w:lastRenderedPageBreak/>
        <w:t>Tabla de contenido</w:t>
      </w:r>
    </w:p>
    <w:p w14:paraId="60DB88EF" w14:textId="77777777" w:rsidR="002E33CB" w:rsidRDefault="00000000">
      <w:pPr>
        <w:spacing w:after="140"/>
      </w:pPr>
      <w:r>
        <w:rPr>
          <w:color w:val="262626"/>
          <w:sz w:val="23"/>
          <w:szCs w:val="23"/>
        </w:rPr>
        <w:t>Resumen ejecutivo</w:t>
      </w:r>
    </w:p>
    <w:p w14:paraId="6121167C" w14:textId="77777777" w:rsidR="002E33CB" w:rsidRDefault="00000000">
      <w:pPr>
        <w:spacing w:after="140"/>
      </w:pPr>
      <w:r>
        <w:rPr>
          <w:color w:val="262626"/>
          <w:sz w:val="23"/>
          <w:szCs w:val="23"/>
        </w:rPr>
        <w:t>1. Contexto y objetivos</w:t>
      </w:r>
    </w:p>
    <w:p w14:paraId="4D686ED5" w14:textId="77777777" w:rsidR="002E33CB" w:rsidRDefault="00000000">
      <w:pPr>
        <w:spacing w:after="140"/>
      </w:pPr>
      <w:r>
        <w:rPr>
          <w:color w:val="262626"/>
          <w:sz w:val="23"/>
          <w:szCs w:val="23"/>
        </w:rPr>
        <w:t>2. Stack tecnológico</w:t>
      </w:r>
    </w:p>
    <w:p w14:paraId="3A70CEC6" w14:textId="77777777" w:rsidR="002E33CB" w:rsidRDefault="00000000">
      <w:pPr>
        <w:spacing w:after="140"/>
      </w:pPr>
      <w:r>
        <w:rPr>
          <w:color w:val="262626"/>
          <w:sz w:val="23"/>
          <w:szCs w:val="23"/>
        </w:rPr>
        <w:t>3. Modelo de datos</w:t>
      </w:r>
    </w:p>
    <w:p w14:paraId="14B96344" w14:textId="77777777" w:rsidR="002E33CB" w:rsidRDefault="00000000">
      <w:pPr>
        <w:spacing w:after="140"/>
      </w:pPr>
      <w:r>
        <w:rPr>
          <w:color w:val="262626"/>
          <w:sz w:val="23"/>
          <w:szCs w:val="23"/>
        </w:rPr>
        <w:t>4. Generación y calibración del dataset</w:t>
      </w:r>
    </w:p>
    <w:p w14:paraId="2721D94F" w14:textId="77777777" w:rsidR="002E33CB" w:rsidRDefault="00000000">
      <w:pPr>
        <w:spacing w:after="140"/>
      </w:pPr>
      <w:r>
        <w:rPr>
          <w:color w:val="262626"/>
          <w:sz w:val="23"/>
          <w:szCs w:val="23"/>
        </w:rPr>
        <w:t>5. Proceso ETL en Python</w:t>
      </w:r>
    </w:p>
    <w:p w14:paraId="589A689D" w14:textId="77777777" w:rsidR="002E33CB" w:rsidRDefault="00000000">
      <w:pPr>
        <w:spacing w:after="140"/>
      </w:pPr>
      <w:r>
        <w:rPr>
          <w:color w:val="262626"/>
          <w:sz w:val="23"/>
          <w:szCs w:val="23"/>
        </w:rPr>
        <w:t>6. KPIs financieros</w:t>
      </w:r>
    </w:p>
    <w:p w14:paraId="36AC42BA" w14:textId="77777777" w:rsidR="002E33CB" w:rsidRDefault="00000000">
      <w:pPr>
        <w:spacing w:after="140"/>
      </w:pPr>
      <w:r>
        <w:rPr>
          <w:color w:val="262626"/>
          <w:sz w:val="23"/>
          <w:szCs w:val="23"/>
        </w:rPr>
        <w:t>7. Ingresos y crecimiento</w:t>
      </w:r>
    </w:p>
    <w:p w14:paraId="09889E6F" w14:textId="77777777" w:rsidR="002E33CB" w:rsidRDefault="00000000">
      <w:pPr>
        <w:spacing w:after="140"/>
      </w:pPr>
      <w:r>
        <w:rPr>
          <w:color w:val="262626"/>
          <w:sz w:val="23"/>
          <w:szCs w:val="23"/>
        </w:rPr>
        <w:t>8. Forecast 2026</w:t>
      </w:r>
    </w:p>
    <w:p w14:paraId="5932B907" w14:textId="77777777" w:rsidR="002E33CB" w:rsidRDefault="00000000">
      <w:pPr>
        <w:spacing w:after="140"/>
      </w:pPr>
      <w:r>
        <w:rPr>
          <w:color w:val="262626"/>
          <w:sz w:val="23"/>
          <w:szCs w:val="23"/>
        </w:rPr>
        <w:t>9. Modelo y medidas DAX en Power BI</w:t>
      </w:r>
    </w:p>
    <w:p w14:paraId="09F11DEF" w14:textId="77777777" w:rsidR="002E33CB" w:rsidRDefault="00000000">
      <w:pPr>
        <w:spacing w:after="140"/>
      </w:pPr>
      <w:r>
        <w:rPr>
          <w:color w:val="262626"/>
          <w:sz w:val="23"/>
          <w:szCs w:val="23"/>
        </w:rPr>
        <w:t>10. Estructura del reporte Power BI</w:t>
      </w:r>
    </w:p>
    <w:p w14:paraId="02160BE1" w14:textId="77777777" w:rsidR="002E33CB" w:rsidRDefault="00000000">
      <w:pPr>
        <w:spacing w:after="140"/>
      </w:pPr>
      <w:r>
        <w:rPr>
          <w:color w:val="262626"/>
          <w:sz w:val="23"/>
          <w:szCs w:val="23"/>
        </w:rPr>
        <w:t>11. Incidencias resueltas durante el desarrollo</w:t>
      </w:r>
    </w:p>
    <w:p w14:paraId="7F2FFB68" w14:textId="341FB1AC" w:rsidR="002E33CB" w:rsidRDefault="00000000">
      <w:pPr>
        <w:spacing w:after="140"/>
      </w:pPr>
      <w:r>
        <w:t>1</w:t>
      </w:r>
      <w:r w:rsidR="00FA1258">
        <w:t>2</w:t>
      </w:r>
      <w:r>
        <w:t>. Conclusiones y aprendizajes</w:t>
      </w:r>
      <w:r>
        <w:br/>
        <w:t>1</w:t>
      </w:r>
      <w:r w:rsidR="00FA1258">
        <w:t>2</w:t>
      </w:r>
      <w:r>
        <w:t>.1 Recomendaciones de gestión</w:t>
      </w:r>
    </w:p>
    <w:p w14:paraId="57A8E047" w14:textId="77777777" w:rsidR="002E33CB" w:rsidRDefault="00000000">
      <w:pPr>
        <w:pStyle w:val="Ttulo1"/>
      </w:pPr>
      <w:r>
        <w:t>Resumen ejecutivo</w:t>
      </w:r>
    </w:p>
    <w:p w14:paraId="04B0DD90" w14:textId="77777777" w:rsidR="002E33CB" w:rsidRDefault="00000000" w:rsidP="005B3E4E">
      <w:pPr>
        <w:spacing w:after="160" w:line="276" w:lineRule="auto"/>
        <w:ind w:firstLine="708"/>
        <w:jc w:val="both"/>
      </w:pPr>
      <w:r>
        <w:rPr>
          <w:color w:val="262626"/>
        </w:rPr>
        <w:t xml:space="preserve">Este informe documenta el desarrollo completo de un sistema de control presupuestario y KPIs financieros para </w:t>
      </w:r>
      <w:r w:rsidR="005C2063">
        <w:rPr>
          <w:color w:val="262626"/>
        </w:rPr>
        <w:t>New World Telecom</w:t>
      </w:r>
      <w:r>
        <w:rPr>
          <w:color w:val="262626"/>
        </w:rPr>
        <w:t>, una empresa de telecomunicaciones ficticia calibrada con datos reales del mercado español. El proyecto integra tres etapas: modelado y limpieza de datos (SQL + Python), cálculo de indicadores financieros y una proyección estadística a 2026, y visualización interactiva en Power BI.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2E33CB" w14:paraId="4520859C" w14:textId="77777777">
        <w:trPr>
          <w:tblHeader/>
        </w:trPr>
        <w:tc>
          <w:tcPr>
            <w:tcW w:w="3200" w:type="dxa"/>
            <w:shd w:val="clear" w:color="auto" w:fill="0E2A47"/>
            <w:tcMar>
              <w:top w:w="80" w:type="dxa"/>
              <w:left w:w="120" w:type="dxa"/>
              <w:bottom w:w="80" w:type="dxa"/>
              <w:right w:w="120" w:type="dxa"/>
            </w:tcMar>
          </w:tcPr>
          <w:p w14:paraId="10308D1F" w14:textId="77777777" w:rsidR="002E33CB" w:rsidRDefault="00000000">
            <w:r>
              <w:rPr>
                <w:b/>
                <w:bCs/>
                <w:color w:val="FFFFFF"/>
                <w:sz w:val="20"/>
                <w:szCs w:val="20"/>
              </w:rPr>
              <w:t>Indicador</w:t>
            </w:r>
          </w:p>
        </w:tc>
        <w:tc>
          <w:tcPr>
            <w:tcW w:w="2900" w:type="dxa"/>
            <w:shd w:val="clear" w:color="auto" w:fill="0E2A47"/>
            <w:tcMar>
              <w:top w:w="80" w:type="dxa"/>
              <w:left w:w="120" w:type="dxa"/>
              <w:bottom w:w="80" w:type="dxa"/>
              <w:right w:w="120" w:type="dxa"/>
            </w:tcMar>
          </w:tcPr>
          <w:p w14:paraId="31A28D65" w14:textId="77777777" w:rsidR="002E33CB" w:rsidRDefault="00000000">
            <w:r>
              <w:rPr>
                <w:b/>
                <w:bCs/>
                <w:color w:val="FFFFFF"/>
                <w:sz w:val="20"/>
                <w:szCs w:val="20"/>
              </w:rPr>
              <w:t>2025 (real)</w:t>
            </w:r>
          </w:p>
        </w:tc>
        <w:tc>
          <w:tcPr>
            <w:tcW w:w="2900" w:type="dxa"/>
            <w:shd w:val="clear" w:color="auto" w:fill="0E2A47"/>
            <w:tcMar>
              <w:top w:w="80" w:type="dxa"/>
              <w:left w:w="120" w:type="dxa"/>
              <w:bottom w:w="80" w:type="dxa"/>
              <w:right w:w="120" w:type="dxa"/>
            </w:tcMar>
          </w:tcPr>
          <w:p w14:paraId="441718D5" w14:textId="77777777" w:rsidR="002E33CB" w:rsidRDefault="00000000">
            <w:r>
              <w:rPr>
                <w:b/>
                <w:bCs/>
                <w:color w:val="FFFFFF"/>
                <w:sz w:val="20"/>
                <w:szCs w:val="20"/>
              </w:rPr>
              <w:t>2026 (forecast)</w:t>
            </w:r>
          </w:p>
        </w:tc>
      </w:tr>
      <w:tr w:rsidR="002E33CB" w14:paraId="0B9A4ABF" w14:textId="77777777">
        <w:tc>
          <w:tcPr>
            <w:tcW w:w="3200" w:type="dxa"/>
            <w:tcMar>
              <w:top w:w="80" w:type="dxa"/>
              <w:left w:w="120" w:type="dxa"/>
              <w:bottom w:w="80" w:type="dxa"/>
              <w:right w:w="120" w:type="dxa"/>
            </w:tcMar>
          </w:tcPr>
          <w:p w14:paraId="0BB29089" w14:textId="77777777" w:rsidR="002E33CB" w:rsidRDefault="00000000">
            <w:r>
              <w:rPr>
                <w:color w:val="262626"/>
                <w:sz w:val="20"/>
                <w:szCs w:val="20"/>
              </w:rPr>
              <w:t>Ingresos totales</w:t>
            </w:r>
          </w:p>
        </w:tc>
        <w:tc>
          <w:tcPr>
            <w:tcW w:w="2900" w:type="dxa"/>
            <w:tcMar>
              <w:top w:w="80" w:type="dxa"/>
              <w:left w:w="120" w:type="dxa"/>
              <w:bottom w:w="80" w:type="dxa"/>
              <w:right w:w="120" w:type="dxa"/>
            </w:tcMar>
          </w:tcPr>
          <w:p w14:paraId="5C5F8998" w14:textId="77777777" w:rsidR="002E33CB" w:rsidRDefault="00000000">
            <w:r>
              <w:rPr>
                <w:color w:val="262626"/>
                <w:sz w:val="20"/>
                <w:szCs w:val="20"/>
              </w:rPr>
              <w:t>6.095.934 €</w:t>
            </w:r>
          </w:p>
        </w:tc>
        <w:tc>
          <w:tcPr>
            <w:tcW w:w="2900" w:type="dxa"/>
            <w:tcMar>
              <w:top w:w="80" w:type="dxa"/>
              <w:left w:w="120" w:type="dxa"/>
              <w:bottom w:w="80" w:type="dxa"/>
              <w:right w:w="120" w:type="dxa"/>
            </w:tcMar>
          </w:tcPr>
          <w:p w14:paraId="582E8467" w14:textId="77777777" w:rsidR="002E33CB" w:rsidRDefault="00000000">
            <w:r>
              <w:rPr>
                <w:color w:val="262626"/>
                <w:sz w:val="20"/>
                <w:szCs w:val="20"/>
              </w:rPr>
              <w:t>7.028.269 € (+15,3%)</w:t>
            </w:r>
          </w:p>
        </w:tc>
      </w:tr>
      <w:tr w:rsidR="002E33CB" w14:paraId="4A3D4E00" w14:textId="77777777">
        <w:tc>
          <w:tcPr>
            <w:tcW w:w="3200" w:type="dxa"/>
            <w:tcMar>
              <w:top w:w="80" w:type="dxa"/>
              <w:left w:w="120" w:type="dxa"/>
              <w:bottom w:w="80" w:type="dxa"/>
              <w:right w:w="120" w:type="dxa"/>
            </w:tcMar>
          </w:tcPr>
          <w:p w14:paraId="3932475F" w14:textId="77777777" w:rsidR="002E33CB" w:rsidRDefault="00000000">
            <w:r>
              <w:rPr>
                <w:color w:val="262626"/>
                <w:sz w:val="20"/>
                <w:szCs w:val="20"/>
              </w:rPr>
              <w:t>Presupuesto</w:t>
            </w:r>
          </w:p>
        </w:tc>
        <w:tc>
          <w:tcPr>
            <w:tcW w:w="2900" w:type="dxa"/>
            <w:tcMar>
              <w:top w:w="80" w:type="dxa"/>
              <w:left w:w="120" w:type="dxa"/>
              <w:bottom w:w="80" w:type="dxa"/>
              <w:right w:w="120" w:type="dxa"/>
            </w:tcMar>
          </w:tcPr>
          <w:p w14:paraId="58E8D403" w14:textId="77777777" w:rsidR="002E33CB" w:rsidRDefault="00000000">
            <w:r>
              <w:rPr>
                <w:color w:val="262626"/>
                <w:sz w:val="20"/>
                <w:szCs w:val="20"/>
              </w:rPr>
              <w:t>4.303.498 €</w:t>
            </w:r>
          </w:p>
        </w:tc>
        <w:tc>
          <w:tcPr>
            <w:tcW w:w="2900" w:type="dxa"/>
            <w:tcMar>
              <w:top w:w="80" w:type="dxa"/>
              <w:left w:w="120" w:type="dxa"/>
              <w:bottom w:w="80" w:type="dxa"/>
              <w:right w:w="120" w:type="dxa"/>
            </w:tcMar>
          </w:tcPr>
          <w:p w14:paraId="771A6262" w14:textId="77777777" w:rsidR="002E33CB" w:rsidRDefault="00000000">
            <w:r>
              <w:rPr>
                <w:color w:val="262626"/>
                <w:sz w:val="20"/>
                <w:szCs w:val="20"/>
              </w:rPr>
              <w:t>4.482.809 € (+4,2%)</w:t>
            </w:r>
          </w:p>
        </w:tc>
      </w:tr>
      <w:tr w:rsidR="002E33CB" w14:paraId="4C4ADEBE" w14:textId="77777777">
        <w:tc>
          <w:tcPr>
            <w:tcW w:w="3200" w:type="dxa"/>
            <w:tcMar>
              <w:top w:w="80" w:type="dxa"/>
              <w:left w:w="120" w:type="dxa"/>
              <w:bottom w:w="80" w:type="dxa"/>
              <w:right w:w="120" w:type="dxa"/>
            </w:tcMar>
          </w:tcPr>
          <w:p w14:paraId="2CE62E58" w14:textId="77777777" w:rsidR="002E33CB" w:rsidRDefault="00000000">
            <w:r>
              <w:rPr>
                <w:color w:val="262626"/>
                <w:sz w:val="20"/>
                <w:szCs w:val="20"/>
              </w:rPr>
              <w:t>Gasto ejecutado / esperado</w:t>
            </w:r>
          </w:p>
        </w:tc>
        <w:tc>
          <w:tcPr>
            <w:tcW w:w="2900" w:type="dxa"/>
            <w:tcMar>
              <w:top w:w="80" w:type="dxa"/>
              <w:left w:w="120" w:type="dxa"/>
              <w:bottom w:w="80" w:type="dxa"/>
              <w:right w:w="120" w:type="dxa"/>
            </w:tcMar>
          </w:tcPr>
          <w:p w14:paraId="158C9F5E" w14:textId="77777777" w:rsidR="002E33CB" w:rsidRDefault="00000000">
            <w:r>
              <w:rPr>
                <w:color w:val="262626"/>
                <w:sz w:val="20"/>
                <w:szCs w:val="20"/>
              </w:rPr>
              <w:t>4.306.856 €</w:t>
            </w:r>
          </w:p>
        </w:tc>
        <w:tc>
          <w:tcPr>
            <w:tcW w:w="2900" w:type="dxa"/>
            <w:tcMar>
              <w:top w:w="80" w:type="dxa"/>
              <w:left w:w="120" w:type="dxa"/>
              <w:bottom w:w="80" w:type="dxa"/>
              <w:right w:w="120" w:type="dxa"/>
            </w:tcMar>
          </w:tcPr>
          <w:p w14:paraId="4ECA91DE" w14:textId="77777777" w:rsidR="002E0A08" w:rsidRDefault="00000000">
            <w:r>
              <w:t>4.626.177 €</w:t>
            </w:r>
          </w:p>
        </w:tc>
      </w:tr>
      <w:tr w:rsidR="002E33CB" w14:paraId="0EE1B066" w14:textId="77777777">
        <w:tc>
          <w:tcPr>
            <w:tcW w:w="3200" w:type="dxa"/>
            <w:tcMar>
              <w:top w:w="80" w:type="dxa"/>
              <w:left w:w="120" w:type="dxa"/>
              <w:bottom w:w="80" w:type="dxa"/>
              <w:right w:w="120" w:type="dxa"/>
            </w:tcMar>
          </w:tcPr>
          <w:p w14:paraId="6F500AD8" w14:textId="77777777" w:rsidR="002E33CB" w:rsidRDefault="00000000">
            <w:r>
              <w:rPr>
                <w:color w:val="262626"/>
                <w:sz w:val="20"/>
                <w:szCs w:val="20"/>
              </w:rPr>
              <w:t>Margen operativo</w:t>
            </w:r>
          </w:p>
        </w:tc>
        <w:tc>
          <w:tcPr>
            <w:tcW w:w="2900" w:type="dxa"/>
            <w:tcMar>
              <w:top w:w="80" w:type="dxa"/>
              <w:left w:w="120" w:type="dxa"/>
              <w:bottom w:w="80" w:type="dxa"/>
              <w:right w:w="120" w:type="dxa"/>
            </w:tcMar>
          </w:tcPr>
          <w:p w14:paraId="6CBCE8EB" w14:textId="77777777" w:rsidR="002E33CB" w:rsidRDefault="00000000">
            <w:r>
              <w:rPr>
                <w:color w:val="262626"/>
                <w:sz w:val="20"/>
                <w:szCs w:val="20"/>
              </w:rPr>
              <w:t>29,3%</w:t>
            </w:r>
          </w:p>
        </w:tc>
        <w:tc>
          <w:tcPr>
            <w:tcW w:w="2900" w:type="dxa"/>
            <w:tcMar>
              <w:top w:w="80" w:type="dxa"/>
              <w:left w:w="120" w:type="dxa"/>
              <w:bottom w:w="80" w:type="dxa"/>
              <w:right w:w="120" w:type="dxa"/>
            </w:tcMar>
          </w:tcPr>
          <w:p w14:paraId="2640614E" w14:textId="77777777" w:rsidR="002E0A08" w:rsidRDefault="00000000">
            <w:r>
              <w:t>34,2%</w:t>
            </w:r>
          </w:p>
        </w:tc>
      </w:tr>
      <w:tr w:rsidR="002E33CB" w14:paraId="72EB5C43" w14:textId="77777777">
        <w:tc>
          <w:tcPr>
            <w:tcW w:w="3200" w:type="dxa"/>
            <w:tcMar>
              <w:top w:w="80" w:type="dxa"/>
              <w:left w:w="120" w:type="dxa"/>
              <w:bottom w:w="80" w:type="dxa"/>
              <w:right w:w="120" w:type="dxa"/>
            </w:tcMar>
          </w:tcPr>
          <w:p w14:paraId="03390257" w14:textId="77777777" w:rsidR="002E33CB" w:rsidRDefault="00000000">
            <w:r>
              <w:rPr>
                <w:color w:val="262626"/>
                <w:sz w:val="20"/>
                <w:szCs w:val="20"/>
              </w:rPr>
              <w:t>% Ejecución del presupuesto</w:t>
            </w:r>
          </w:p>
        </w:tc>
        <w:tc>
          <w:tcPr>
            <w:tcW w:w="2900" w:type="dxa"/>
            <w:tcMar>
              <w:top w:w="80" w:type="dxa"/>
              <w:left w:w="120" w:type="dxa"/>
              <w:bottom w:w="80" w:type="dxa"/>
              <w:right w:w="120" w:type="dxa"/>
            </w:tcMar>
          </w:tcPr>
          <w:p w14:paraId="3D1B6972" w14:textId="77777777" w:rsidR="002E33CB" w:rsidRDefault="00000000">
            <w:r>
              <w:rPr>
                <w:color w:val="262626"/>
                <w:sz w:val="20"/>
                <w:szCs w:val="20"/>
              </w:rPr>
              <w:t>100,1%</w:t>
            </w:r>
          </w:p>
        </w:tc>
        <w:tc>
          <w:tcPr>
            <w:tcW w:w="2900" w:type="dxa"/>
            <w:tcMar>
              <w:top w:w="80" w:type="dxa"/>
              <w:left w:w="120" w:type="dxa"/>
              <w:bottom w:w="80" w:type="dxa"/>
              <w:right w:w="120" w:type="dxa"/>
            </w:tcMar>
          </w:tcPr>
          <w:p w14:paraId="5FA909D7" w14:textId="77777777" w:rsidR="002E33CB" w:rsidRDefault="00000000">
            <w:r>
              <w:rPr>
                <w:color w:val="262626"/>
                <w:sz w:val="20"/>
                <w:szCs w:val="20"/>
              </w:rPr>
              <w:t>—</w:t>
            </w:r>
          </w:p>
        </w:tc>
      </w:tr>
    </w:tbl>
    <w:p w14:paraId="4A3F6A67" w14:textId="77777777" w:rsidR="002E33CB" w:rsidRDefault="002E33CB"/>
    <w:p w14:paraId="7DE1D931" w14:textId="77777777" w:rsidR="002E0A08" w:rsidRDefault="00000000" w:rsidP="005B3E4E">
      <w:pPr>
        <w:ind w:firstLine="708"/>
        <w:jc w:val="both"/>
      </w:pPr>
      <w:r>
        <w:t>Desde la perspectiva de negocio, el análisis no recomienda dispersar recursos en líneas no evaluadas: los resultados muestran que Servicios de Valor Añadido/Cloud es la línea con mayor tracción (+37,8% en 2025). La recomendación es reforzar esta línea y utilizar el margen operativo proyectado de 34,2% para financiar crecimiento sobre áreas con evidencia, acompañado de un control mensual formal de la ejecución presupuestaria en Marketing y Tecnología y TI.</w:t>
      </w:r>
    </w:p>
    <w:p w14:paraId="5C561C98" w14:textId="77777777" w:rsidR="002E33CB" w:rsidRDefault="00000000" w:rsidP="005B3E4E">
      <w:pPr>
        <w:spacing w:after="160" w:line="276" w:lineRule="auto"/>
        <w:jc w:val="both"/>
      </w:pPr>
      <w:r>
        <w:rPr>
          <w:color w:val="262626"/>
        </w:rPr>
        <w:lastRenderedPageBreak/>
        <w:t>El dataset final, el pipeline de limpieza y cálculo, y el reporte interactivo en Power BI constituyen la evidencia completa del proceso, documentada de principio a fin en este informe.</w:t>
      </w:r>
    </w:p>
    <w:p w14:paraId="6E93CD5B" w14:textId="77777777" w:rsidR="002E33CB" w:rsidRDefault="00000000" w:rsidP="005B3E4E">
      <w:pPr>
        <w:pStyle w:val="Ttulo1"/>
        <w:jc w:val="both"/>
      </w:pPr>
      <w:r>
        <w:t>1. Contexto y objetivos</w:t>
      </w:r>
    </w:p>
    <w:p w14:paraId="373A099B" w14:textId="77777777" w:rsidR="002E33CB" w:rsidRDefault="00000000" w:rsidP="005B3E4E">
      <w:pPr>
        <w:spacing w:after="160" w:line="276" w:lineRule="auto"/>
        <w:jc w:val="both"/>
      </w:pPr>
      <w:r>
        <w:rPr>
          <w:color w:val="262626"/>
        </w:rPr>
        <w:t>El proyecto simula el control de ejecución presupuestaria de una empresa de telecomunicaciones (</w:t>
      </w:r>
      <w:r w:rsidR="005E3BDB">
        <w:rPr>
          <w:color w:val="262626"/>
        </w:rPr>
        <w:t>New World Telecom</w:t>
      </w:r>
      <w:r>
        <w:rPr>
          <w:color w:val="262626"/>
        </w:rPr>
        <w:t>), con el objetivo de cruzar presupuesto contra gasto real por departamento, categoría y mes, detectar desviaciones, proyectar el año siguiente y presentar todo en un dashboard ejecutivo.</w:t>
      </w:r>
    </w:p>
    <w:p w14:paraId="488F485D" w14:textId="77777777" w:rsidR="002E33CB" w:rsidRDefault="00000000" w:rsidP="005B3E4E">
      <w:pPr>
        <w:spacing w:after="160" w:line="276" w:lineRule="auto"/>
        <w:jc w:val="both"/>
      </w:pPr>
      <w:r>
        <w:rPr>
          <w:color w:val="262626"/>
        </w:rPr>
        <w:t>El alcance se limita deliberadamente a control presupuestario y KPIs de ingresos/gastos operativos — no incluye estados financieros completos (balance general, EBITDA, ratios de deuda), ya que esos requerirían datos de naturaleza distinta (deuda, patrimonio, depreciación) fuera del objetivo del curso.</w:t>
      </w:r>
    </w:p>
    <w:p w14:paraId="3BD7F572" w14:textId="77777777" w:rsidR="002E33CB" w:rsidRDefault="00000000" w:rsidP="005B3E4E">
      <w:pPr>
        <w:pStyle w:val="Ttulo1"/>
        <w:jc w:val="both"/>
      </w:pPr>
      <w:r>
        <w:t>2. Stack tecnológico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2E33CB" w14:paraId="053DEE12" w14:textId="77777777">
        <w:trPr>
          <w:tblHeader/>
        </w:trPr>
        <w:tc>
          <w:tcPr>
            <w:tcW w:w="3500" w:type="dxa"/>
            <w:shd w:val="clear" w:color="auto" w:fill="0E2A47"/>
            <w:tcMar>
              <w:top w:w="80" w:type="dxa"/>
              <w:left w:w="120" w:type="dxa"/>
              <w:bottom w:w="80" w:type="dxa"/>
              <w:right w:w="120" w:type="dxa"/>
            </w:tcMar>
          </w:tcPr>
          <w:p w14:paraId="66EFF233" w14:textId="77777777" w:rsidR="002E33CB" w:rsidRDefault="00000000">
            <w:r>
              <w:rPr>
                <w:b/>
                <w:bCs/>
                <w:color w:val="FFFFFF"/>
                <w:sz w:val="20"/>
                <w:szCs w:val="20"/>
              </w:rPr>
              <w:t>Herramienta</w:t>
            </w:r>
          </w:p>
        </w:tc>
        <w:tc>
          <w:tcPr>
            <w:tcW w:w="5500" w:type="dxa"/>
            <w:shd w:val="clear" w:color="auto" w:fill="0E2A47"/>
            <w:tcMar>
              <w:top w:w="80" w:type="dxa"/>
              <w:left w:w="120" w:type="dxa"/>
              <w:bottom w:w="80" w:type="dxa"/>
              <w:right w:w="120" w:type="dxa"/>
            </w:tcMar>
          </w:tcPr>
          <w:p w14:paraId="1E2B7BED" w14:textId="77777777" w:rsidR="002E33CB" w:rsidRDefault="00000000">
            <w:r>
              <w:rPr>
                <w:b/>
                <w:bCs/>
                <w:color w:val="FFFFFF"/>
                <w:sz w:val="20"/>
                <w:szCs w:val="20"/>
              </w:rPr>
              <w:t>Uso en el proyecto</w:t>
            </w:r>
          </w:p>
        </w:tc>
      </w:tr>
      <w:tr w:rsidR="002E33CB" w14:paraId="057DE8C0" w14:textId="77777777">
        <w:tc>
          <w:tcPr>
            <w:tcW w:w="3500" w:type="dxa"/>
            <w:tcMar>
              <w:top w:w="80" w:type="dxa"/>
              <w:left w:w="120" w:type="dxa"/>
              <w:bottom w:w="80" w:type="dxa"/>
              <w:right w:w="120" w:type="dxa"/>
            </w:tcMar>
          </w:tcPr>
          <w:p w14:paraId="33E2DA25" w14:textId="77777777" w:rsidR="002E33CB" w:rsidRDefault="00000000">
            <w:r>
              <w:rPr>
                <w:color w:val="262626"/>
                <w:sz w:val="20"/>
                <w:szCs w:val="20"/>
              </w:rPr>
              <w:t>SQL (SQLite)</w:t>
            </w:r>
          </w:p>
        </w:tc>
        <w:tc>
          <w:tcPr>
            <w:tcW w:w="5500" w:type="dxa"/>
            <w:tcMar>
              <w:top w:w="80" w:type="dxa"/>
              <w:left w:w="120" w:type="dxa"/>
              <w:bottom w:w="80" w:type="dxa"/>
              <w:right w:w="120" w:type="dxa"/>
            </w:tcMar>
          </w:tcPr>
          <w:p w14:paraId="20D77A5C" w14:textId="77777777" w:rsidR="002E33CB" w:rsidRDefault="00000000">
            <w:r>
              <w:rPr>
                <w:color w:val="262626"/>
                <w:sz w:val="20"/>
                <w:szCs w:val="20"/>
              </w:rPr>
              <w:t>Modelado relacional, joins, esquema estrella</w:t>
            </w:r>
          </w:p>
        </w:tc>
      </w:tr>
      <w:tr w:rsidR="002E33CB" w14:paraId="7CB00C0B" w14:textId="77777777">
        <w:tc>
          <w:tcPr>
            <w:tcW w:w="3500" w:type="dxa"/>
            <w:tcMar>
              <w:top w:w="80" w:type="dxa"/>
              <w:left w:w="120" w:type="dxa"/>
              <w:bottom w:w="80" w:type="dxa"/>
              <w:right w:w="120" w:type="dxa"/>
            </w:tcMar>
          </w:tcPr>
          <w:p w14:paraId="4A56D29C" w14:textId="77777777" w:rsidR="002E33CB" w:rsidRDefault="00000000">
            <w:r>
              <w:rPr>
                <w:color w:val="262626"/>
                <w:sz w:val="20"/>
                <w:szCs w:val="20"/>
              </w:rPr>
              <w:t>Python (pandas, numpy, requests)</w:t>
            </w:r>
          </w:p>
        </w:tc>
        <w:tc>
          <w:tcPr>
            <w:tcW w:w="5500" w:type="dxa"/>
            <w:tcMar>
              <w:top w:w="80" w:type="dxa"/>
              <w:left w:w="120" w:type="dxa"/>
              <w:bottom w:w="80" w:type="dxa"/>
              <w:right w:w="120" w:type="dxa"/>
            </w:tcMar>
          </w:tcPr>
          <w:p w14:paraId="7FDA81BC" w14:textId="77777777" w:rsidR="002E33CB" w:rsidRDefault="00000000">
            <w:r>
              <w:rPr>
                <w:color w:val="262626"/>
                <w:sz w:val="20"/>
                <w:szCs w:val="20"/>
              </w:rPr>
              <w:t>Limpieza de datos, cálculo de KPIs, forecast, consumo de API</w:t>
            </w:r>
          </w:p>
        </w:tc>
      </w:tr>
      <w:tr w:rsidR="002E33CB" w14:paraId="7FF55BC1" w14:textId="77777777">
        <w:tc>
          <w:tcPr>
            <w:tcW w:w="3500" w:type="dxa"/>
            <w:tcMar>
              <w:top w:w="80" w:type="dxa"/>
              <w:left w:w="120" w:type="dxa"/>
              <w:bottom w:w="80" w:type="dxa"/>
              <w:right w:w="120" w:type="dxa"/>
            </w:tcMar>
          </w:tcPr>
          <w:p w14:paraId="08CB00DA" w14:textId="77777777" w:rsidR="002E33CB" w:rsidRDefault="00000000">
            <w:r>
              <w:rPr>
                <w:color w:val="262626"/>
                <w:sz w:val="20"/>
                <w:szCs w:val="20"/>
              </w:rPr>
              <w:t>Power BI (DAX)</w:t>
            </w:r>
          </w:p>
        </w:tc>
        <w:tc>
          <w:tcPr>
            <w:tcW w:w="5500" w:type="dxa"/>
            <w:tcMar>
              <w:top w:w="80" w:type="dxa"/>
              <w:left w:w="120" w:type="dxa"/>
              <w:bottom w:w="80" w:type="dxa"/>
              <w:right w:w="120" w:type="dxa"/>
            </w:tcMar>
          </w:tcPr>
          <w:p w14:paraId="6EEC7299" w14:textId="77777777" w:rsidR="002E33CB" w:rsidRDefault="00000000">
            <w:r>
              <w:rPr>
                <w:color w:val="262626"/>
                <w:sz w:val="20"/>
                <w:szCs w:val="20"/>
              </w:rPr>
              <w:t>Dashboard interactivo de 6 páginas con navegación personalizada</w:t>
            </w:r>
          </w:p>
        </w:tc>
      </w:tr>
      <w:tr w:rsidR="002E33CB" w14:paraId="78077524" w14:textId="77777777">
        <w:tc>
          <w:tcPr>
            <w:tcW w:w="3500" w:type="dxa"/>
            <w:tcMar>
              <w:top w:w="80" w:type="dxa"/>
              <w:left w:w="120" w:type="dxa"/>
              <w:bottom w:w="80" w:type="dxa"/>
              <w:right w:w="120" w:type="dxa"/>
            </w:tcMar>
          </w:tcPr>
          <w:p w14:paraId="02CDE4D7" w14:textId="77777777" w:rsidR="002E33CB" w:rsidRDefault="00000000">
            <w:r>
              <w:rPr>
                <w:color w:val="262626"/>
                <w:sz w:val="20"/>
                <w:szCs w:val="20"/>
              </w:rPr>
              <w:t>API Frankfurter (BCE)</w:t>
            </w:r>
          </w:p>
        </w:tc>
        <w:tc>
          <w:tcPr>
            <w:tcW w:w="5500" w:type="dxa"/>
            <w:tcMar>
              <w:top w:w="80" w:type="dxa"/>
              <w:left w:w="120" w:type="dxa"/>
              <w:bottom w:w="80" w:type="dxa"/>
              <w:right w:w="120" w:type="dxa"/>
            </w:tcMar>
          </w:tcPr>
          <w:p w14:paraId="2FD0CAF9" w14:textId="77777777" w:rsidR="002E33CB" w:rsidRDefault="00000000">
            <w:r>
              <w:rPr>
                <w:color w:val="262626"/>
                <w:sz w:val="20"/>
                <w:szCs w:val="20"/>
              </w:rPr>
              <w:t>Tipos de cambio EUR/USD — ejemplo de consumo vía método GET</w:t>
            </w:r>
          </w:p>
        </w:tc>
      </w:tr>
      <w:tr w:rsidR="002E33CB" w14:paraId="09E686DE" w14:textId="77777777">
        <w:tc>
          <w:tcPr>
            <w:tcW w:w="3500" w:type="dxa"/>
            <w:tcMar>
              <w:top w:w="80" w:type="dxa"/>
              <w:left w:w="120" w:type="dxa"/>
              <w:bottom w:w="80" w:type="dxa"/>
              <w:right w:w="120" w:type="dxa"/>
            </w:tcMar>
          </w:tcPr>
          <w:p w14:paraId="5125F03F" w14:textId="77777777" w:rsidR="002E33CB" w:rsidRDefault="00000000">
            <w:r>
              <w:rPr>
                <w:color w:val="262626"/>
                <w:sz w:val="20"/>
                <w:szCs w:val="20"/>
              </w:rPr>
              <w:t>Git / GitHub</w:t>
            </w:r>
          </w:p>
        </w:tc>
        <w:tc>
          <w:tcPr>
            <w:tcW w:w="5500" w:type="dxa"/>
            <w:tcMar>
              <w:top w:w="80" w:type="dxa"/>
              <w:left w:w="120" w:type="dxa"/>
              <w:bottom w:w="80" w:type="dxa"/>
              <w:right w:w="120" w:type="dxa"/>
            </w:tcMar>
          </w:tcPr>
          <w:p w14:paraId="377E78A1" w14:textId="77777777" w:rsidR="002E33CB" w:rsidRDefault="00000000">
            <w:r>
              <w:rPr>
                <w:color w:val="262626"/>
                <w:sz w:val="20"/>
                <w:szCs w:val="20"/>
              </w:rPr>
              <w:t>Control de versiones y evidencia de avance del proyecto</w:t>
            </w:r>
          </w:p>
        </w:tc>
      </w:tr>
    </w:tbl>
    <w:p w14:paraId="6BD0A5F9" w14:textId="77777777" w:rsidR="002E33CB" w:rsidRDefault="00000000">
      <w:pPr>
        <w:pStyle w:val="Ttulo1"/>
      </w:pPr>
      <w:r>
        <w:t>3. Modelo de datos</w:t>
      </w:r>
    </w:p>
    <w:p w14:paraId="3E7C2B8E" w14:textId="77777777" w:rsidR="002E33CB" w:rsidRDefault="00000000" w:rsidP="005B3E4E">
      <w:pPr>
        <w:spacing w:after="160" w:line="276" w:lineRule="auto"/>
        <w:ind w:firstLine="708"/>
      </w:pPr>
      <w:r>
        <w:rPr>
          <w:color w:val="262626"/>
        </w:rPr>
        <w:t>El modelo sigue un esquema en estrella: tres dimensiones compartidas (departamentos, categorías, periodos) y varias tablas de hechos que se relacionan con ellas en uno a varios.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900"/>
        <w:gridCol w:w="3900"/>
      </w:tblGrid>
      <w:tr w:rsidR="002E33CB" w14:paraId="12A3C111" w14:textId="77777777">
        <w:trPr>
          <w:tblHeader/>
        </w:trPr>
        <w:tc>
          <w:tcPr>
            <w:tcW w:w="2600" w:type="dxa"/>
            <w:shd w:val="clear" w:color="auto" w:fill="0E2A47"/>
            <w:tcMar>
              <w:top w:w="80" w:type="dxa"/>
              <w:left w:w="120" w:type="dxa"/>
              <w:bottom w:w="80" w:type="dxa"/>
              <w:right w:w="120" w:type="dxa"/>
            </w:tcMar>
          </w:tcPr>
          <w:p w14:paraId="3C9FC838" w14:textId="77777777" w:rsidR="002E33CB" w:rsidRDefault="00000000">
            <w:r>
              <w:rPr>
                <w:b/>
                <w:bCs/>
                <w:color w:val="FFFFFF"/>
                <w:sz w:val="20"/>
                <w:szCs w:val="20"/>
              </w:rPr>
              <w:t>Tabla</w:t>
            </w:r>
          </w:p>
        </w:tc>
        <w:tc>
          <w:tcPr>
            <w:tcW w:w="1600" w:type="dxa"/>
            <w:shd w:val="clear" w:color="auto" w:fill="0E2A47"/>
            <w:tcMar>
              <w:top w:w="80" w:type="dxa"/>
              <w:left w:w="120" w:type="dxa"/>
              <w:bottom w:w="80" w:type="dxa"/>
              <w:right w:w="120" w:type="dxa"/>
            </w:tcMar>
          </w:tcPr>
          <w:p w14:paraId="58D0D9D2" w14:textId="77777777" w:rsidR="002E33CB" w:rsidRDefault="00000000">
            <w:r>
              <w:rPr>
                <w:b/>
                <w:bCs/>
                <w:color w:val="FFFFFF"/>
                <w:sz w:val="20"/>
                <w:szCs w:val="20"/>
              </w:rPr>
              <w:t>Tipo</w:t>
            </w:r>
          </w:p>
        </w:tc>
        <w:tc>
          <w:tcPr>
            <w:tcW w:w="900" w:type="dxa"/>
            <w:shd w:val="clear" w:color="auto" w:fill="0E2A47"/>
            <w:tcMar>
              <w:top w:w="80" w:type="dxa"/>
              <w:left w:w="120" w:type="dxa"/>
              <w:bottom w:w="80" w:type="dxa"/>
              <w:right w:w="120" w:type="dxa"/>
            </w:tcMar>
          </w:tcPr>
          <w:p w14:paraId="5F412015" w14:textId="77777777" w:rsidR="002E33CB" w:rsidRDefault="00000000">
            <w:r>
              <w:rPr>
                <w:b/>
                <w:bCs/>
                <w:color w:val="FFFFFF"/>
                <w:sz w:val="20"/>
                <w:szCs w:val="20"/>
              </w:rPr>
              <w:t>Filas</w:t>
            </w:r>
          </w:p>
        </w:tc>
        <w:tc>
          <w:tcPr>
            <w:tcW w:w="3900" w:type="dxa"/>
            <w:shd w:val="clear" w:color="auto" w:fill="0E2A47"/>
            <w:tcMar>
              <w:top w:w="80" w:type="dxa"/>
              <w:left w:w="120" w:type="dxa"/>
              <w:bottom w:w="80" w:type="dxa"/>
              <w:right w:w="120" w:type="dxa"/>
            </w:tcMar>
          </w:tcPr>
          <w:p w14:paraId="6078BAD1" w14:textId="77777777" w:rsidR="002E33CB" w:rsidRDefault="00000000">
            <w:r>
              <w:rPr>
                <w:b/>
                <w:bCs/>
                <w:color w:val="FFFFFF"/>
                <w:sz w:val="20"/>
                <w:szCs w:val="20"/>
              </w:rPr>
              <w:t>Descripción</w:t>
            </w:r>
          </w:p>
        </w:tc>
      </w:tr>
      <w:tr w:rsidR="002E33CB" w14:paraId="0F1A1358" w14:textId="77777777">
        <w:tc>
          <w:tcPr>
            <w:tcW w:w="2600" w:type="dxa"/>
            <w:tcMar>
              <w:top w:w="80" w:type="dxa"/>
              <w:left w:w="120" w:type="dxa"/>
              <w:bottom w:w="80" w:type="dxa"/>
              <w:right w:w="120" w:type="dxa"/>
            </w:tcMar>
          </w:tcPr>
          <w:p w14:paraId="2F325430" w14:textId="77777777" w:rsidR="002E33CB" w:rsidRDefault="00000000">
            <w:r>
              <w:rPr>
                <w:color w:val="262626"/>
                <w:sz w:val="20"/>
                <w:szCs w:val="20"/>
              </w:rPr>
              <w:t>departamentos</w:t>
            </w:r>
          </w:p>
        </w:tc>
        <w:tc>
          <w:tcPr>
            <w:tcW w:w="1600" w:type="dxa"/>
            <w:tcMar>
              <w:top w:w="80" w:type="dxa"/>
              <w:left w:w="120" w:type="dxa"/>
              <w:bottom w:w="80" w:type="dxa"/>
              <w:right w:w="120" w:type="dxa"/>
            </w:tcMar>
          </w:tcPr>
          <w:p w14:paraId="38D472F4" w14:textId="77777777" w:rsidR="002E33CB" w:rsidRDefault="00000000">
            <w:r>
              <w:rPr>
                <w:color w:val="262626"/>
                <w:sz w:val="20"/>
                <w:szCs w:val="20"/>
              </w:rPr>
              <w:t>Dimensión</w:t>
            </w:r>
          </w:p>
        </w:tc>
        <w:tc>
          <w:tcPr>
            <w:tcW w:w="900" w:type="dxa"/>
            <w:tcMar>
              <w:top w:w="80" w:type="dxa"/>
              <w:left w:w="120" w:type="dxa"/>
              <w:bottom w:w="80" w:type="dxa"/>
              <w:right w:w="120" w:type="dxa"/>
            </w:tcMar>
          </w:tcPr>
          <w:p w14:paraId="494AD95A" w14:textId="77777777" w:rsidR="002E33CB" w:rsidRDefault="00000000">
            <w:r>
              <w:rPr>
                <w:color w:val="262626"/>
                <w:sz w:val="20"/>
                <w:szCs w:val="20"/>
              </w:rPr>
              <w:t>6</w:t>
            </w:r>
          </w:p>
        </w:tc>
        <w:tc>
          <w:tcPr>
            <w:tcW w:w="3900" w:type="dxa"/>
            <w:tcMar>
              <w:top w:w="80" w:type="dxa"/>
              <w:left w:w="120" w:type="dxa"/>
              <w:bottom w:w="80" w:type="dxa"/>
              <w:right w:w="120" w:type="dxa"/>
            </w:tcMar>
          </w:tcPr>
          <w:p w14:paraId="57811BF3" w14:textId="77777777" w:rsidR="002E33CB" w:rsidRDefault="00000000">
            <w:r>
              <w:rPr>
                <w:color w:val="262626"/>
                <w:sz w:val="20"/>
                <w:szCs w:val="20"/>
              </w:rPr>
              <w:t>Atención al Cliente, Ventas B2B, Operaciones y Logística, Marketing, Tecnología y TI, Administración y Finanzas</w:t>
            </w:r>
          </w:p>
        </w:tc>
      </w:tr>
      <w:tr w:rsidR="002E33CB" w14:paraId="7420787F" w14:textId="77777777">
        <w:tc>
          <w:tcPr>
            <w:tcW w:w="2600" w:type="dxa"/>
            <w:tcMar>
              <w:top w:w="80" w:type="dxa"/>
              <w:left w:w="120" w:type="dxa"/>
              <w:bottom w:w="80" w:type="dxa"/>
              <w:right w:w="120" w:type="dxa"/>
            </w:tcMar>
          </w:tcPr>
          <w:p w14:paraId="7664D72E" w14:textId="77777777" w:rsidR="002E33CB" w:rsidRDefault="00000000">
            <w:r>
              <w:rPr>
                <w:color w:val="262626"/>
                <w:sz w:val="20"/>
                <w:szCs w:val="20"/>
              </w:rPr>
              <w:t>categorias</w:t>
            </w:r>
          </w:p>
        </w:tc>
        <w:tc>
          <w:tcPr>
            <w:tcW w:w="1600" w:type="dxa"/>
            <w:tcMar>
              <w:top w:w="80" w:type="dxa"/>
              <w:left w:w="120" w:type="dxa"/>
              <w:bottom w:w="80" w:type="dxa"/>
              <w:right w:w="120" w:type="dxa"/>
            </w:tcMar>
          </w:tcPr>
          <w:p w14:paraId="159FF31A" w14:textId="77777777" w:rsidR="002E33CB" w:rsidRDefault="00000000">
            <w:r>
              <w:rPr>
                <w:color w:val="262626"/>
                <w:sz w:val="20"/>
                <w:szCs w:val="20"/>
              </w:rPr>
              <w:t>Dimensión</w:t>
            </w:r>
          </w:p>
        </w:tc>
        <w:tc>
          <w:tcPr>
            <w:tcW w:w="900" w:type="dxa"/>
            <w:tcMar>
              <w:top w:w="80" w:type="dxa"/>
              <w:left w:w="120" w:type="dxa"/>
              <w:bottom w:w="80" w:type="dxa"/>
              <w:right w:w="120" w:type="dxa"/>
            </w:tcMar>
          </w:tcPr>
          <w:p w14:paraId="343DFBCC" w14:textId="77777777" w:rsidR="002E33CB" w:rsidRDefault="00000000">
            <w:r>
              <w:rPr>
                <w:color w:val="262626"/>
                <w:sz w:val="20"/>
                <w:szCs w:val="20"/>
              </w:rPr>
              <w:t>5</w:t>
            </w:r>
          </w:p>
        </w:tc>
        <w:tc>
          <w:tcPr>
            <w:tcW w:w="3900" w:type="dxa"/>
            <w:tcMar>
              <w:top w:w="80" w:type="dxa"/>
              <w:left w:w="120" w:type="dxa"/>
              <w:bottom w:w="80" w:type="dxa"/>
              <w:right w:w="120" w:type="dxa"/>
            </w:tcMar>
          </w:tcPr>
          <w:p w14:paraId="48F1824C" w14:textId="77777777" w:rsidR="002E33CB" w:rsidRDefault="00000000">
            <w:r>
              <w:rPr>
                <w:color w:val="262626"/>
                <w:sz w:val="20"/>
                <w:szCs w:val="20"/>
              </w:rPr>
              <w:t>Nómina, Gastos Operativos, Marketing, Tecnología, Capacitación</w:t>
            </w:r>
          </w:p>
        </w:tc>
      </w:tr>
      <w:tr w:rsidR="002E33CB" w14:paraId="0FE4A73D" w14:textId="77777777">
        <w:tc>
          <w:tcPr>
            <w:tcW w:w="2600" w:type="dxa"/>
            <w:tcMar>
              <w:top w:w="80" w:type="dxa"/>
              <w:left w:w="120" w:type="dxa"/>
              <w:bottom w:w="80" w:type="dxa"/>
              <w:right w:w="120" w:type="dxa"/>
            </w:tcMar>
          </w:tcPr>
          <w:p w14:paraId="1CBB86A4" w14:textId="77777777" w:rsidR="002E33CB" w:rsidRDefault="00000000">
            <w:r>
              <w:rPr>
                <w:color w:val="262626"/>
                <w:sz w:val="20"/>
                <w:szCs w:val="20"/>
              </w:rPr>
              <w:t>periodos</w:t>
            </w:r>
          </w:p>
        </w:tc>
        <w:tc>
          <w:tcPr>
            <w:tcW w:w="1600" w:type="dxa"/>
            <w:tcMar>
              <w:top w:w="80" w:type="dxa"/>
              <w:left w:w="120" w:type="dxa"/>
              <w:bottom w:w="80" w:type="dxa"/>
              <w:right w:w="120" w:type="dxa"/>
            </w:tcMar>
          </w:tcPr>
          <w:p w14:paraId="612907A2" w14:textId="77777777" w:rsidR="002E33CB" w:rsidRDefault="00000000">
            <w:r>
              <w:rPr>
                <w:color w:val="262626"/>
                <w:sz w:val="20"/>
                <w:szCs w:val="20"/>
              </w:rPr>
              <w:t>Dimensión</w:t>
            </w:r>
          </w:p>
        </w:tc>
        <w:tc>
          <w:tcPr>
            <w:tcW w:w="900" w:type="dxa"/>
            <w:tcMar>
              <w:top w:w="80" w:type="dxa"/>
              <w:left w:w="120" w:type="dxa"/>
              <w:bottom w:w="80" w:type="dxa"/>
              <w:right w:w="120" w:type="dxa"/>
            </w:tcMar>
          </w:tcPr>
          <w:p w14:paraId="7E16CBAE" w14:textId="77777777" w:rsidR="002E33CB" w:rsidRDefault="00000000">
            <w:r>
              <w:rPr>
                <w:color w:val="262626"/>
                <w:sz w:val="20"/>
                <w:szCs w:val="20"/>
              </w:rPr>
              <w:t>24</w:t>
            </w:r>
          </w:p>
        </w:tc>
        <w:tc>
          <w:tcPr>
            <w:tcW w:w="3900" w:type="dxa"/>
            <w:tcMar>
              <w:top w:w="80" w:type="dxa"/>
              <w:left w:w="120" w:type="dxa"/>
              <w:bottom w:w="80" w:type="dxa"/>
              <w:right w:w="120" w:type="dxa"/>
            </w:tcMar>
          </w:tcPr>
          <w:p w14:paraId="4B90DFC0" w14:textId="77777777" w:rsidR="002E33CB" w:rsidRDefault="00000000">
            <w:r>
              <w:rPr>
                <w:color w:val="262626"/>
                <w:sz w:val="20"/>
                <w:szCs w:val="20"/>
              </w:rPr>
              <w:t>12 meses de 2025 + 12 de 2026 (forecast)</w:t>
            </w:r>
          </w:p>
        </w:tc>
      </w:tr>
      <w:tr w:rsidR="002E33CB" w14:paraId="5DD392FF" w14:textId="77777777">
        <w:tc>
          <w:tcPr>
            <w:tcW w:w="2600" w:type="dxa"/>
            <w:tcMar>
              <w:top w:w="80" w:type="dxa"/>
              <w:left w:w="120" w:type="dxa"/>
              <w:bottom w:w="80" w:type="dxa"/>
              <w:right w:w="120" w:type="dxa"/>
            </w:tcMar>
          </w:tcPr>
          <w:p w14:paraId="51F08482" w14:textId="77777777" w:rsidR="002E33CB" w:rsidRDefault="00000000">
            <w:r>
              <w:rPr>
                <w:color w:val="262626"/>
                <w:sz w:val="20"/>
                <w:szCs w:val="20"/>
              </w:rPr>
              <w:t>presupuesto</w:t>
            </w:r>
          </w:p>
        </w:tc>
        <w:tc>
          <w:tcPr>
            <w:tcW w:w="1600" w:type="dxa"/>
            <w:tcMar>
              <w:top w:w="80" w:type="dxa"/>
              <w:left w:w="120" w:type="dxa"/>
              <w:bottom w:w="80" w:type="dxa"/>
              <w:right w:w="120" w:type="dxa"/>
            </w:tcMar>
          </w:tcPr>
          <w:p w14:paraId="131855A8" w14:textId="77777777" w:rsidR="002E33CB" w:rsidRDefault="00000000">
            <w:r>
              <w:rPr>
                <w:color w:val="262626"/>
                <w:sz w:val="20"/>
                <w:szCs w:val="20"/>
              </w:rPr>
              <w:t>Hecho</w:t>
            </w:r>
          </w:p>
        </w:tc>
        <w:tc>
          <w:tcPr>
            <w:tcW w:w="900" w:type="dxa"/>
            <w:tcMar>
              <w:top w:w="80" w:type="dxa"/>
              <w:left w:w="120" w:type="dxa"/>
              <w:bottom w:w="80" w:type="dxa"/>
              <w:right w:w="120" w:type="dxa"/>
            </w:tcMar>
          </w:tcPr>
          <w:p w14:paraId="279ACD1F" w14:textId="77777777" w:rsidR="002E33CB" w:rsidRDefault="00000000">
            <w:r>
              <w:rPr>
                <w:color w:val="262626"/>
                <w:sz w:val="20"/>
                <w:szCs w:val="20"/>
              </w:rPr>
              <w:t>240</w:t>
            </w:r>
          </w:p>
        </w:tc>
        <w:tc>
          <w:tcPr>
            <w:tcW w:w="3900" w:type="dxa"/>
            <w:tcMar>
              <w:top w:w="80" w:type="dxa"/>
              <w:left w:w="120" w:type="dxa"/>
              <w:bottom w:w="80" w:type="dxa"/>
              <w:right w:w="120" w:type="dxa"/>
            </w:tcMar>
          </w:tcPr>
          <w:p w14:paraId="78BBF5DA" w14:textId="77777777" w:rsidR="002E33CB" w:rsidRDefault="00000000">
            <w:r>
              <w:rPr>
                <w:color w:val="262626"/>
                <w:sz w:val="20"/>
                <w:szCs w:val="20"/>
              </w:rPr>
              <w:t xml:space="preserve">Presupuesto planificado por </w:t>
            </w:r>
            <w:r w:rsidR="00D15D86">
              <w:rPr>
                <w:color w:val="262626"/>
                <w:sz w:val="20"/>
                <w:szCs w:val="20"/>
              </w:rPr>
              <w:t>depto.</w:t>
            </w:r>
            <w:r>
              <w:rPr>
                <w:color w:val="262626"/>
                <w:sz w:val="20"/>
                <w:szCs w:val="20"/>
              </w:rPr>
              <w:t xml:space="preserve"> × categoría × mes</w:t>
            </w:r>
          </w:p>
        </w:tc>
      </w:tr>
      <w:tr w:rsidR="002E33CB" w14:paraId="60D6DE26" w14:textId="77777777">
        <w:tc>
          <w:tcPr>
            <w:tcW w:w="2600" w:type="dxa"/>
            <w:tcMar>
              <w:top w:w="80" w:type="dxa"/>
              <w:left w:w="120" w:type="dxa"/>
              <w:bottom w:w="80" w:type="dxa"/>
              <w:right w:w="120" w:type="dxa"/>
            </w:tcMar>
          </w:tcPr>
          <w:p w14:paraId="18BB2292" w14:textId="77777777" w:rsidR="002E33CB" w:rsidRDefault="00D15D86">
            <w:r>
              <w:rPr>
                <w:color w:val="262626"/>
                <w:sz w:val="20"/>
                <w:szCs w:val="20"/>
              </w:rPr>
              <w:t>Datos limpios</w:t>
            </w:r>
          </w:p>
        </w:tc>
        <w:tc>
          <w:tcPr>
            <w:tcW w:w="1600" w:type="dxa"/>
            <w:tcMar>
              <w:top w:w="80" w:type="dxa"/>
              <w:left w:w="120" w:type="dxa"/>
              <w:bottom w:w="80" w:type="dxa"/>
              <w:right w:w="120" w:type="dxa"/>
            </w:tcMar>
          </w:tcPr>
          <w:p w14:paraId="5E29FE06" w14:textId="77777777" w:rsidR="002E33CB" w:rsidRDefault="00000000">
            <w:r>
              <w:rPr>
                <w:color w:val="262626"/>
                <w:sz w:val="20"/>
                <w:szCs w:val="20"/>
              </w:rPr>
              <w:t>Hecho</w:t>
            </w:r>
          </w:p>
        </w:tc>
        <w:tc>
          <w:tcPr>
            <w:tcW w:w="900" w:type="dxa"/>
            <w:tcMar>
              <w:top w:w="80" w:type="dxa"/>
              <w:left w:w="120" w:type="dxa"/>
              <w:bottom w:w="80" w:type="dxa"/>
              <w:right w:w="120" w:type="dxa"/>
            </w:tcMar>
          </w:tcPr>
          <w:p w14:paraId="0C0314DC" w14:textId="77777777" w:rsidR="002E33CB" w:rsidRDefault="00000000">
            <w:r>
              <w:rPr>
                <w:color w:val="262626"/>
                <w:sz w:val="20"/>
                <w:szCs w:val="20"/>
              </w:rPr>
              <w:t>230</w:t>
            </w:r>
          </w:p>
        </w:tc>
        <w:tc>
          <w:tcPr>
            <w:tcW w:w="3900" w:type="dxa"/>
            <w:tcMar>
              <w:top w:w="80" w:type="dxa"/>
              <w:left w:w="120" w:type="dxa"/>
              <w:bottom w:w="80" w:type="dxa"/>
              <w:right w:w="120" w:type="dxa"/>
            </w:tcMar>
          </w:tcPr>
          <w:p w14:paraId="6D43E5E1" w14:textId="77777777" w:rsidR="002E33CB" w:rsidRDefault="00000000">
            <w:r>
              <w:rPr>
                <w:color w:val="262626"/>
                <w:sz w:val="20"/>
                <w:szCs w:val="20"/>
              </w:rPr>
              <w:t>Gasto real ejecutado, ya limpio</w:t>
            </w:r>
          </w:p>
        </w:tc>
      </w:tr>
      <w:tr w:rsidR="002E33CB" w14:paraId="294BE40A" w14:textId="77777777">
        <w:tc>
          <w:tcPr>
            <w:tcW w:w="2600" w:type="dxa"/>
            <w:tcMar>
              <w:top w:w="80" w:type="dxa"/>
              <w:left w:w="120" w:type="dxa"/>
              <w:bottom w:w="80" w:type="dxa"/>
              <w:right w:w="120" w:type="dxa"/>
            </w:tcMar>
          </w:tcPr>
          <w:p w14:paraId="2E1549EC" w14:textId="77777777" w:rsidR="002E33CB" w:rsidRDefault="00000000">
            <w:r>
              <w:rPr>
                <w:color w:val="262626"/>
                <w:sz w:val="20"/>
                <w:szCs w:val="20"/>
              </w:rPr>
              <w:t>ingresos</w:t>
            </w:r>
          </w:p>
        </w:tc>
        <w:tc>
          <w:tcPr>
            <w:tcW w:w="1600" w:type="dxa"/>
            <w:tcMar>
              <w:top w:w="80" w:type="dxa"/>
              <w:left w:w="120" w:type="dxa"/>
              <w:bottom w:w="80" w:type="dxa"/>
              <w:right w:w="120" w:type="dxa"/>
            </w:tcMar>
          </w:tcPr>
          <w:p w14:paraId="01C1AEB7" w14:textId="77777777" w:rsidR="002E33CB" w:rsidRDefault="00000000">
            <w:r>
              <w:rPr>
                <w:color w:val="262626"/>
                <w:sz w:val="20"/>
                <w:szCs w:val="20"/>
              </w:rPr>
              <w:t>Hecho</w:t>
            </w:r>
          </w:p>
        </w:tc>
        <w:tc>
          <w:tcPr>
            <w:tcW w:w="900" w:type="dxa"/>
            <w:tcMar>
              <w:top w:w="80" w:type="dxa"/>
              <w:left w:w="120" w:type="dxa"/>
              <w:bottom w:w="80" w:type="dxa"/>
              <w:right w:w="120" w:type="dxa"/>
            </w:tcMar>
          </w:tcPr>
          <w:p w14:paraId="7E585CFF" w14:textId="77777777" w:rsidR="002E33CB" w:rsidRDefault="00000000">
            <w:r>
              <w:rPr>
                <w:color w:val="262626"/>
                <w:sz w:val="20"/>
                <w:szCs w:val="20"/>
              </w:rPr>
              <w:t>36</w:t>
            </w:r>
          </w:p>
        </w:tc>
        <w:tc>
          <w:tcPr>
            <w:tcW w:w="3900" w:type="dxa"/>
            <w:tcMar>
              <w:top w:w="80" w:type="dxa"/>
              <w:left w:w="120" w:type="dxa"/>
              <w:bottom w:w="80" w:type="dxa"/>
              <w:right w:w="120" w:type="dxa"/>
            </w:tcMar>
          </w:tcPr>
          <w:p w14:paraId="1EF49D86" w14:textId="77777777" w:rsidR="002E33CB" w:rsidRDefault="00000000">
            <w:r>
              <w:rPr>
                <w:color w:val="262626"/>
                <w:sz w:val="20"/>
                <w:szCs w:val="20"/>
              </w:rPr>
              <w:t>3 líneas de negocio × 12 meses</w:t>
            </w:r>
          </w:p>
        </w:tc>
      </w:tr>
      <w:tr w:rsidR="002E33CB" w14:paraId="5BFFD375" w14:textId="77777777">
        <w:tc>
          <w:tcPr>
            <w:tcW w:w="2600" w:type="dxa"/>
            <w:tcMar>
              <w:top w:w="80" w:type="dxa"/>
              <w:left w:w="120" w:type="dxa"/>
              <w:bottom w:w="80" w:type="dxa"/>
              <w:right w:w="120" w:type="dxa"/>
            </w:tcMar>
          </w:tcPr>
          <w:p w14:paraId="5F781C9D" w14:textId="77777777" w:rsidR="002E33CB" w:rsidRDefault="00000000">
            <w:r>
              <w:rPr>
                <w:color w:val="262626"/>
                <w:sz w:val="20"/>
                <w:szCs w:val="20"/>
              </w:rPr>
              <w:t>ingresos_forecast_2026</w:t>
            </w:r>
          </w:p>
        </w:tc>
        <w:tc>
          <w:tcPr>
            <w:tcW w:w="1600" w:type="dxa"/>
            <w:tcMar>
              <w:top w:w="80" w:type="dxa"/>
              <w:left w:w="120" w:type="dxa"/>
              <w:bottom w:w="80" w:type="dxa"/>
              <w:right w:w="120" w:type="dxa"/>
            </w:tcMar>
          </w:tcPr>
          <w:p w14:paraId="1DEE89BB" w14:textId="77777777" w:rsidR="002E33CB" w:rsidRDefault="00000000">
            <w:r>
              <w:rPr>
                <w:color w:val="262626"/>
                <w:sz w:val="20"/>
                <w:szCs w:val="20"/>
              </w:rPr>
              <w:t>Hecho (forecast)</w:t>
            </w:r>
          </w:p>
        </w:tc>
        <w:tc>
          <w:tcPr>
            <w:tcW w:w="900" w:type="dxa"/>
            <w:tcMar>
              <w:top w:w="80" w:type="dxa"/>
              <w:left w:w="120" w:type="dxa"/>
              <w:bottom w:w="80" w:type="dxa"/>
              <w:right w:w="120" w:type="dxa"/>
            </w:tcMar>
          </w:tcPr>
          <w:p w14:paraId="6326847A" w14:textId="77777777" w:rsidR="002E33CB" w:rsidRDefault="00000000">
            <w:r>
              <w:rPr>
                <w:color w:val="262626"/>
                <w:sz w:val="20"/>
                <w:szCs w:val="20"/>
              </w:rPr>
              <w:t>36</w:t>
            </w:r>
          </w:p>
        </w:tc>
        <w:tc>
          <w:tcPr>
            <w:tcW w:w="3900" w:type="dxa"/>
            <w:tcMar>
              <w:top w:w="80" w:type="dxa"/>
              <w:left w:w="120" w:type="dxa"/>
              <w:bottom w:w="80" w:type="dxa"/>
              <w:right w:w="120" w:type="dxa"/>
            </w:tcMar>
          </w:tcPr>
          <w:p w14:paraId="57B52957" w14:textId="77777777" w:rsidR="002E33CB" w:rsidRDefault="00000000">
            <w:r>
              <w:rPr>
                <w:color w:val="262626"/>
                <w:sz w:val="20"/>
                <w:szCs w:val="20"/>
              </w:rPr>
              <w:t>Proyección de ingresos con banda de confianza 95%</w:t>
            </w:r>
          </w:p>
        </w:tc>
      </w:tr>
      <w:tr w:rsidR="002E33CB" w14:paraId="24B81DF2" w14:textId="77777777">
        <w:tc>
          <w:tcPr>
            <w:tcW w:w="2600" w:type="dxa"/>
            <w:tcMar>
              <w:top w:w="80" w:type="dxa"/>
              <w:left w:w="120" w:type="dxa"/>
              <w:bottom w:w="80" w:type="dxa"/>
              <w:right w:w="120" w:type="dxa"/>
            </w:tcMar>
          </w:tcPr>
          <w:p w14:paraId="00601C14" w14:textId="77777777" w:rsidR="002E33CB" w:rsidRDefault="00000000">
            <w:r>
              <w:rPr>
                <w:color w:val="262626"/>
                <w:sz w:val="20"/>
                <w:szCs w:val="20"/>
              </w:rPr>
              <w:t>presupuesto_2026</w:t>
            </w:r>
          </w:p>
        </w:tc>
        <w:tc>
          <w:tcPr>
            <w:tcW w:w="1600" w:type="dxa"/>
            <w:tcMar>
              <w:top w:w="80" w:type="dxa"/>
              <w:left w:w="120" w:type="dxa"/>
              <w:bottom w:w="80" w:type="dxa"/>
              <w:right w:w="120" w:type="dxa"/>
            </w:tcMar>
          </w:tcPr>
          <w:p w14:paraId="0221E650" w14:textId="77777777" w:rsidR="002E33CB" w:rsidRDefault="00000000">
            <w:r>
              <w:rPr>
                <w:color w:val="262626"/>
                <w:sz w:val="20"/>
                <w:szCs w:val="20"/>
              </w:rPr>
              <w:t>Hecho (forecast)</w:t>
            </w:r>
          </w:p>
        </w:tc>
        <w:tc>
          <w:tcPr>
            <w:tcW w:w="900" w:type="dxa"/>
            <w:tcMar>
              <w:top w:w="80" w:type="dxa"/>
              <w:left w:w="120" w:type="dxa"/>
              <w:bottom w:w="80" w:type="dxa"/>
              <w:right w:w="120" w:type="dxa"/>
            </w:tcMar>
          </w:tcPr>
          <w:p w14:paraId="698D43A2" w14:textId="77777777" w:rsidR="002E33CB" w:rsidRDefault="00000000">
            <w:r>
              <w:rPr>
                <w:color w:val="262626"/>
                <w:sz w:val="20"/>
                <w:szCs w:val="20"/>
              </w:rPr>
              <w:t>240</w:t>
            </w:r>
          </w:p>
        </w:tc>
        <w:tc>
          <w:tcPr>
            <w:tcW w:w="3900" w:type="dxa"/>
            <w:tcMar>
              <w:top w:w="80" w:type="dxa"/>
              <w:left w:w="120" w:type="dxa"/>
              <w:bottom w:w="80" w:type="dxa"/>
              <w:right w:w="120" w:type="dxa"/>
            </w:tcMar>
          </w:tcPr>
          <w:p w14:paraId="6B688B62" w14:textId="77777777" w:rsidR="002E33CB" w:rsidRDefault="00000000">
            <w:r>
              <w:rPr>
                <w:color w:val="262626"/>
                <w:sz w:val="20"/>
                <w:szCs w:val="20"/>
              </w:rPr>
              <w:t>Presupuesto planificado 2026</w:t>
            </w:r>
          </w:p>
        </w:tc>
      </w:tr>
      <w:tr w:rsidR="002E33CB" w14:paraId="27A37282" w14:textId="77777777">
        <w:tc>
          <w:tcPr>
            <w:tcW w:w="2600" w:type="dxa"/>
            <w:tcMar>
              <w:top w:w="80" w:type="dxa"/>
              <w:left w:w="120" w:type="dxa"/>
              <w:bottom w:w="80" w:type="dxa"/>
              <w:right w:w="120" w:type="dxa"/>
            </w:tcMar>
          </w:tcPr>
          <w:p w14:paraId="4661A3C2" w14:textId="77777777" w:rsidR="002E33CB" w:rsidRDefault="00000000">
            <w:r>
              <w:rPr>
                <w:color w:val="262626"/>
                <w:sz w:val="20"/>
                <w:szCs w:val="20"/>
              </w:rPr>
              <w:t>gasto_esperado_2026</w:t>
            </w:r>
          </w:p>
        </w:tc>
        <w:tc>
          <w:tcPr>
            <w:tcW w:w="1600" w:type="dxa"/>
            <w:tcMar>
              <w:top w:w="80" w:type="dxa"/>
              <w:left w:w="120" w:type="dxa"/>
              <w:bottom w:w="80" w:type="dxa"/>
              <w:right w:w="120" w:type="dxa"/>
            </w:tcMar>
          </w:tcPr>
          <w:p w14:paraId="2AD410F6" w14:textId="77777777" w:rsidR="002E33CB" w:rsidRDefault="00000000">
            <w:r>
              <w:rPr>
                <w:color w:val="262626"/>
                <w:sz w:val="20"/>
                <w:szCs w:val="20"/>
              </w:rPr>
              <w:t>Hecho (forecast)</w:t>
            </w:r>
          </w:p>
        </w:tc>
        <w:tc>
          <w:tcPr>
            <w:tcW w:w="900" w:type="dxa"/>
            <w:tcMar>
              <w:top w:w="80" w:type="dxa"/>
              <w:left w:w="120" w:type="dxa"/>
              <w:bottom w:w="80" w:type="dxa"/>
              <w:right w:w="120" w:type="dxa"/>
            </w:tcMar>
          </w:tcPr>
          <w:p w14:paraId="249B6BC9" w14:textId="77777777" w:rsidR="002E33CB" w:rsidRDefault="00000000">
            <w:r>
              <w:rPr>
                <w:color w:val="262626"/>
                <w:sz w:val="20"/>
                <w:szCs w:val="20"/>
              </w:rPr>
              <w:t>240</w:t>
            </w:r>
          </w:p>
        </w:tc>
        <w:tc>
          <w:tcPr>
            <w:tcW w:w="3900" w:type="dxa"/>
            <w:tcMar>
              <w:top w:w="80" w:type="dxa"/>
              <w:left w:w="120" w:type="dxa"/>
              <w:bottom w:w="80" w:type="dxa"/>
              <w:right w:w="120" w:type="dxa"/>
            </w:tcMar>
          </w:tcPr>
          <w:p w14:paraId="7982BD41" w14:textId="77777777" w:rsidR="002E33CB" w:rsidRDefault="00000000">
            <w:r>
              <w:rPr>
                <w:color w:val="262626"/>
                <w:sz w:val="20"/>
                <w:szCs w:val="20"/>
              </w:rPr>
              <w:t>Gasto esperado según ratio histórico de ejecución</w:t>
            </w:r>
          </w:p>
        </w:tc>
      </w:tr>
    </w:tbl>
    <w:p w14:paraId="51239033" w14:textId="77777777" w:rsidR="005B3E4E" w:rsidRDefault="005B3E4E">
      <w:pPr>
        <w:pStyle w:val="Ttulo1"/>
      </w:pPr>
    </w:p>
    <w:p w14:paraId="6642925D" w14:textId="77777777" w:rsidR="005B3E4E" w:rsidRDefault="005B3E4E">
      <w:pPr>
        <w:pStyle w:val="Ttulo1"/>
      </w:pPr>
    </w:p>
    <w:p w14:paraId="446C9D7F" w14:textId="22F5F5F2" w:rsidR="002E33CB" w:rsidRDefault="00000000">
      <w:pPr>
        <w:pStyle w:val="Ttulo1"/>
      </w:pPr>
      <w:r>
        <w:t>4. Generación y calibración del dataset</w:t>
      </w:r>
    </w:p>
    <w:p w14:paraId="15E2FACA" w14:textId="77777777" w:rsidR="002E33CB" w:rsidRDefault="00000000" w:rsidP="005B3E4E">
      <w:pPr>
        <w:spacing w:after="160" w:line="276" w:lineRule="auto"/>
        <w:ind w:firstLine="708"/>
      </w:pPr>
      <w:r>
        <w:rPr>
          <w:color w:val="262626"/>
        </w:rPr>
        <w:t>Al ser una empresa ficticia, el dataset se calibró con referencias reales para que fuera defendible: salario medio bruto mensual en España (INE, EPA 2024: 2.385,6 €) y coste de Seguridad Social a cargo de la empresa (+30% sobre el bruto). La nómina de cada departamento se calculó como plantilla × salario medio del rol × 1,30, con salarios diferenciados por función (IT y ventas por encima de la media, atención al cliente y logística en línea con la media).</w:t>
      </w:r>
    </w:p>
    <w:p w14:paraId="3FBBCF34" w14:textId="77777777" w:rsidR="002E33CB" w:rsidRDefault="00000000" w:rsidP="005B3E4E">
      <w:pPr>
        <w:spacing w:after="160" w:line="276" w:lineRule="auto"/>
        <w:ind w:firstLine="708"/>
      </w:pPr>
      <w:r>
        <w:rPr>
          <w:color w:val="262626"/>
        </w:rPr>
        <w:lastRenderedPageBreak/>
        <w:t>Los ingresos se modelaron en tres líneas de negocio, cada una vinculada a su departamento generador: Ventas B2B → Servicios B2B Corporativos, Atención al Cliente → Servicios Residenciales, Tecnología y TI → Servicios de Valor Añadido (Cloud/Digital) — con una tendencia de crecimiento anual distinta por línea y una caída estacional en agosto característica del mercado español.</w:t>
      </w:r>
    </w:p>
    <w:p w14:paraId="2308E418" w14:textId="77777777" w:rsidR="002E33CB" w:rsidRDefault="00000000">
      <w:pPr>
        <w:pStyle w:val="Ttulo1"/>
      </w:pPr>
      <w:r>
        <w:t>5. Proceso ETL en Python</w:t>
      </w:r>
    </w:p>
    <w:p w14:paraId="27233D45" w14:textId="77777777" w:rsidR="002E33CB" w:rsidRDefault="00000000">
      <w:pPr>
        <w:pStyle w:val="Ttulo2"/>
      </w:pPr>
      <w:r>
        <w:t>5.1 Limpieza de datos (ejecucion_real_raw)</w:t>
      </w:r>
    </w:p>
    <w:p w14:paraId="0DF23DA9" w14:textId="77777777" w:rsidR="002E33CB" w:rsidRDefault="00000000" w:rsidP="005B3E4E">
      <w:pPr>
        <w:spacing w:after="160" w:line="276" w:lineRule="auto"/>
        <w:ind w:firstLine="708"/>
      </w:pPr>
      <w:r>
        <w:rPr>
          <w:color w:val="262626"/>
        </w:rPr>
        <w:t>El dataset de ejecución real se generó con problemas de calidad intencionales, típicos de un sistema de origen real: nombres de departamento inconsistentes, valores vacíos o con texto no numérico, montos con símbolo de moneda o formato decimal europeo, valores negativos por error de captura, y filas duplicadas.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2E33CB" w14:paraId="10FC20B1" w14:textId="77777777">
        <w:trPr>
          <w:tblHeader/>
        </w:trPr>
        <w:tc>
          <w:tcPr>
            <w:tcW w:w="5500" w:type="dxa"/>
            <w:shd w:val="clear" w:color="auto" w:fill="0E2A47"/>
            <w:tcMar>
              <w:top w:w="80" w:type="dxa"/>
              <w:left w:w="120" w:type="dxa"/>
              <w:bottom w:w="80" w:type="dxa"/>
              <w:right w:w="120" w:type="dxa"/>
            </w:tcMar>
          </w:tcPr>
          <w:p w14:paraId="21343BB6" w14:textId="77777777" w:rsidR="002E33CB" w:rsidRDefault="00000000">
            <w:r>
              <w:rPr>
                <w:b/>
                <w:bCs/>
                <w:color w:val="FFFFFF"/>
                <w:sz w:val="20"/>
                <w:szCs w:val="20"/>
              </w:rPr>
              <w:t>Verificación</w:t>
            </w:r>
          </w:p>
        </w:tc>
        <w:tc>
          <w:tcPr>
            <w:tcW w:w="3500" w:type="dxa"/>
            <w:shd w:val="clear" w:color="auto" w:fill="0E2A47"/>
            <w:tcMar>
              <w:top w:w="80" w:type="dxa"/>
              <w:left w:w="120" w:type="dxa"/>
              <w:bottom w:w="80" w:type="dxa"/>
              <w:right w:w="120" w:type="dxa"/>
            </w:tcMar>
          </w:tcPr>
          <w:p w14:paraId="6BE37B3F" w14:textId="77777777" w:rsidR="002E33CB" w:rsidRDefault="00000000">
            <w:r>
              <w:rPr>
                <w:b/>
                <w:bCs/>
                <w:color w:val="FFFFFF"/>
                <w:sz w:val="20"/>
                <w:szCs w:val="20"/>
              </w:rPr>
              <w:t>Resultado</w:t>
            </w:r>
          </w:p>
        </w:tc>
      </w:tr>
      <w:tr w:rsidR="002E33CB" w14:paraId="33C9BF90" w14:textId="77777777">
        <w:tc>
          <w:tcPr>
            <w:tcW w:w="5500" w:type="dxa"/>
            <w:tcMar>
              <w:top w:w="80" w:type="dxa"/>
              <w:left w:w="120" w:type="dxa"/>
              <w:bottom w:w="80" w:type="dxa"/>
              <w:right w:w="120" w:type="dxa"/>
            </w:tcMar>
          </w:tcPr>
          <w:p w14:paraId="337EE312" w14:textId="77777777" w:rsidR="002E33CB" w:rsidRDefault="00000000">
            <w:r>
              <w:rPr>
                <w:color w:val="262626"/>
                <w:sz w:val="20"/>
                <w:szCs w:val="20"/>
              </w:rPr>
              <w:t>Total de filas originales</w:t>
            </w:r>
          </w:p>
        </w:tc>
        <w:tc>
          <w:tcPr>
            <w:tcW w:w="3500" w:type="dxa"/>
            <w:tcMar>
              <w:top w:w="80" w:type="dxa"/>
              <w:left w:w="120" w:type="dxa"/>
              <w:bottom w:w="80" w:type="dxa"/>
              <w:right w:w="120" w:type="dxa"/>
            </w:tcMar>
          </w:tcPr>
          <w:p w14:paraId="25D9E8EE" w14:textId="77777777" w:rsidR="002E33CB" w:rsidRDefault="00000000">
            <w:r>
              <w:rPr>
                <w:color w:val="262626"/>
                <w:sz w:val="20"/>
                <w:szCs w:val="20"/>
              </w:rPr>
              <w:t>241</w:t>
            </w:r>
          </w:p>
        </w:tc>
      </w:tr>
      <w:tr w:rsidR="002E33CB" w14:paraId="4F841EA2" w14:textId="77777777">
        <w:tc>
          <w:tcPr>
            <w:tcW w:w="5500" w:type="dxa"/>
            <w:tcMar>
              <w:top w:w="80" w:type="dxa"/>
              <w:left w:w="120" w:type="dxa"/>
              <w:bottom w:w="80" w:type="dxa"/>
              <w:right w:w="120" w:type="dxa"/>
            </w:tcMar>
          </w:tcPr>
          <w:p w14:paraId="5DC6CDA1" w14:textId="77777777" w:rsidR="002E33CB" w:rsidRDefault="00000000">
            <w:r>
              <w:rPr>
                <w:color w:val="262626"/>
                <w:sz w:val="20"/>
                <w:szCs w:val="20"/>
              </w:rPr>
              <w:t>Nombres de departamento normalizados</w:t>
            </w:r>
          </w:p>
        </w:tc>
        <w:tc>
          <w:tcPr>
            <w:tcW w:w="3500" w:type="dxa"/>
            <w:tcMar>
              <w:top w:w="80" w:type="dxa"/>
              <w:left w:w="120" w:type="dxa"/>
              <w:bottom w:w="80" w:type="dxa"/>
              <w:right w:w="120" w:type="dxa"/>
            </w:tcMar>
          </w:tcPr>
          <w:p w14:paraId="2ECB7CEB" w14:textId="77777777" w:rsidR="002E33CB" w:rsidRDefault="00000000">
            <w:r>
              <w:rPr>
                <w:color w:val="262626"/>
                <w:sz w:val="20"/>
                <w:szCs w:val="20"/>
              </w:rPr>
              <w:t>6 variantes unificadas a su nombre canónico</w:t>
            </w:r>
          </w:p>
        </w:tc>
      </w:tr>
      <w:tr w:rsidR="002E33CB" w14:paraId="74BFF181" w14:textId="77777777">
        <w:tc>
          <w:tcPr>
            <w:tcW w:w="5500" w:type="dxa"/>
            <w:tcMar>
              <w:top w:w="80" w:type="dxa"/>
              <w:left w:w="120" w:type="dxa"/>
              <w:bottom w:w="80" w:type="dxa"/>
              <w:right w:w="120" w:type="dxa"/>
            </w:tcMar>
          </w:tcPr>
          <w:p w14:paraId="1A980FD6" w14:textId="77777777" w:rsidR="002E33CB" w:rsidRDefault="00000000">
            <w:r>
              <w:rPr>
                <w:color w:val="262626"/>
                <w:sz w:val="20"/>
                <w:szCs w:val="20"/>
              </w:rPr>
              <w:t>Valores nulos / no numéricos</w:t>
            </w:r>
          </w:p>
        </w:tc>
        <w:tc>
          <w:tcPr>
            <w:tcW w:w="3500" w:type="dxa"/>
            <w:tcMar>
              <w:top w:w="80" w:type="dxa"/>
              <w:left w:w="120" w:type="dxa"/>
              <w:bottom w:w="80" w:type="dxa"/>
              <w:right w:w="120" w:type="dxa"/>
            </w:tcMar>
          </w:tcPr>
          <w:p w14:paraId="56A43632" w14:textId="77777777" w:rsidR="002E33CB" w:rsidRDefault="00000000">
            <w:r>
              <w:rPr>
                <w:color w:val="262626"/>
                <w:sz w:val="20"/>
                <w:szCs w:val="20"/>
              </w:rPr>
              <w:t>10 filas (4,1%) — excluidas y documentadas</w:t>
            </w:r>
          </w:p>
        </w:tc>
      </w:tr>
      <w:tr w:rsidR="002E33CB" w14:paraId="1F13C533" w14:textId="77777777">
        <w:tc>
          <w:tcPr>
            <w:tcW w:w="5500" w:type="dxa"/>
            <w:tcMar>
              <w:top w:w="80" w:type="dxa"/>
              <w:left w:w="120" w:type="dxa"/>
              <w:bottom w:w="80" w:type="dxa"/>
              <w:right w:w="120" w:type="dxa"/>
            </w:tcMar>
          </w:tcPr>
          <w:p w14:paraId="02A0DDCC" w14:textId="77777777" w:rsidR="002E33CB" w:rsidRDefault="00000000">
            <w:r>
              <w:rPr>
                <w:color w:val="262626"/>
                <w:sz w:val="20"/>
                <w:szCs w:val="20"/>
              </w:rPr>
              <w:t>Valores negativos</w:t>
            </w:r>
          </w:p>
        </w:tc>
        <w:tc>
          <w:tcPr>
            <w:tcW w:w="3500" w:type="dxa"/>
            <w:tcMar>
              <w:top w:w="80" w:type="dxa"/>
              <w:left w:w="120" w:type="dxa"/>
              <w:bottom w:w="80" w:type="dxa"/>
              <w:right w:w="120" w:type="dxa"/>
            </w:tcMar>
          </w:tcPr>
          <w:p w14:paraId="70699F5E" w14:textId="77777777" w:rsidR="002E33CB" w:rsidRDefault="00000000">
            <w:r>
              <w:rPr>
                <w:color w:val="262626"/>
                <w:sz w:val="20"/>
                <w:szCs w:val="20"/>
              </w:rPr>
              <w:t>5 filas (2,1%) — corregidos con valor absoluto, flag conservado</w:t>
            </w:r>
          </w:p>
        </w:tc>
      </w:tr>
      <w:tr w:rsidR="002E33CB" w14:paraId="0613EA24" w14:textId="77777777">
        <w:tc>
          <w:tcPr>
            <w:tcW w:w="5500" w:type="dxa"/>
            <w:tcMar>
              <w:top w:w="80" w:type="dxa"/>
              <w:left w:w="120" w:type="dxa"/>
              <w:bottom w:w="80" w:type="dxa"/>
              <w:right w:w="120" w:type="dxa"/>
            </w:tcMar>
          </w:tcPr>
          <w:p w14:paraId="5480FD3C" w14:textId="77777777" w:rsidR="002E33CB" w:rsidRDefault="00000000">
            <w:r>
              <w:rPr>
                <w:color w:val="262626"/>
                <w:sz w:val="20"/>
                <w:szCs w:val="20"/>
              </w:rPr>
              <w:t>Filas duplicadas</w:t>
            </w:r>
          </w:p>
        </w:tc>
        <w:tc>
          <w:tcPr>
            <w:tcW w:w="3500" w:type="dxa"/>
            <w:tcMar>
              <w:top w:w="80" w:type="dxa"/>
              <w:left w:w="120" w:type="dxa"/>
              <w:bottom w:w="80" w:type="dxa"/>
              <w:right w:w="120" w:type="dxa"/>
            </w:tcMar>
          </w:tcPr>
          <w:p w14:paraId="737FBA1D" w14:textId="77777777" w:rsidR="002E33CB" w:rsidRDefault="00000000">
            <w:r>
              <w:rPr>
                <w:color w:val="262626"/>
                <w:sz w:val="20"/>
                <w:szCs w:val="20"/>
              </w:rPr>
              <w:t>1 fila (0,4%) — eliminada, se conservó la primera aparición</w:t>
            </w:r>
          </w:p>
        </w:tc>
      </w:tr>
      <w:tr w:rsidR="002E33CB" w14:paraId="2D9F6190" w14:textId="77777777">
        <w:tc>
          <w:tcPr>
            <w:tcW w:w="5500" w:type="dxa"/>
            <w:tcMar>
              <w:top w:w="80" w:type="dxa"/>
              <w:left w:w="120" w:type="dxa"/>
              <w:bottom w:w="80" w:type="dxa"/>
              <w:right w:w="120" w:type="dxa"/>
            </w:tcMar>
          </w:tcPr>
          <w:p w14:paraId="450A2771" w14:textId="77777777" w:rsidR="002E33CB" w:rsidRDefault="00000000">
            <w:r>
              <w:rPr>
                <w:color w:val="262626"/>
                <w:sz w:val="20"/>
                <w:szCs w:val="20"/>
              </w:rPr>
              <w:t>Filas en el dataset final limpio</w:t>
            </w:r>
          </w:p>
        </w:tc>
        <w:tc>
          <w:tcPr>
            <w:tcW w:w="3500" w:type="dxa"/>
            <w:tcMar>
              <w:top w:w="80" w:type="dxa"/>
              <w:left w:w="120" w:type="dxa"/>
              <w:bottom w:w="80" w:type="dxa"/>
              <w:right w:w="120" w:type="dxa"/>
            </w:tcMar>
          </w:tcPr>
          <w:p w14:paraId="3197F504" w14:textId="77777777" w:rsidR="002E33CB" w:rsidRDefault="00000000">
            <w:r>
              <w:rPr>
                <w:color w:val="262626"/>
                <w:sz w:val="20"/>
                <w:szCs w:val="20"/>
              </w:rPr>
              <w:t>230 de 241 (95,4%)</w:t>
            </w:r>
          </w:p>
        </w:tc>
      </w:tr>
    </w:tbl>
    <w:p w14:paraId="566E9340" w14:textId="77777777" w:rsidR="002E33CB" w:rsidRDefault="00000000">
      <w:pPr>
        <w:spacing w:after="160" w:line="276" w:lineRule="auto"/>
      </w:pPr>
      <w:r>
        <w:rPr>
          <w:color w:val="262626"/>
        </w:rPr>
        <w:t>Principio aplicado: ninguna corrección se hace en silencio. Cada anomalía queda marcada con una columna de flag antes de decidir su tratamiento, dejando trazabilidad completa del proceso.</w:t>
      </w:r>
    </w:p>
    <w:p w14:paraId="6B13D218" w14:textId="77777777" w:rsidR="002E33CB" w:rsidRDefault="00000000">
      <w:pPr>
        <w:pStyle w:val="Ttulo2"/>
      </w:pPr>
      <w:r>
        <w:t>5.2 Consumo de API externa (método GET)</w:t>
      </w:r>
    </w:p>
    <w:p w14:paraId="726FC65F" w14:textId="77777777" w:rsidR="002E33CB" w:rsidRDefault="00000000">
      <w:pPr>
        <w:spacing w:after="160" w:line="276" w:lineRule="auto"/>
      </w:pPr>
      <w:r>
        <w:rPr>
          <w:color w:val="262626"/>
        </w:rPr>
        <w:t>Se implementó una conexión a la API pública Frankfurter (Banco Central Europeo), que no requiere clave de acceso, para obtener el tipo de cambio histórico EUR/USD de cada mes de 2025. El objetivo de negocio es analizar el impacto cambiario en categorías con gasto en dólares (ej. Tecnología e Infraestructura). La función usa el método GET de la librería requests, con manejo de errores (try/except sobre RequestException) y control de frecuencia de peticiones.</w:t>
      </w:r>
    </w:p>
    <w:p w14:paraId="451A1AD4" w14:textId="77777777" w:rsidR="002E33CB" w:rsidRDefault="00000000">
      <w:pPr>
        <w:pStyle w:val="Ttulo2"/>
      </w:pPr>
      <w:r>
        <w:t>5.3 Exportación multi-formato</w:t>
      </w:r>
    </w:p>
    <w:p w14:paraId="15841BA6" w14:textId="77777777" w:rsidR="002E33CB" w:rsidRDefault="00000000" w:rsidP="005B3E4E">
      <w:pPr>
        <w:spacing w:after="160" w:line="276" w:lineRule="auto"/>
        <w:ind w:firstLine="708"/>
      </w:pPr>
      <w:r>
        <w:rPr>
          <w:color w:val="262626"/>
        </w:rPr>
        <w:t>Todas las tablas del modelo se exportan en cuatro formatos distintos desde el mismo script (src/exportar_formatos.py): CSV, Excel (un libro con una hoja por tabla), JSON (un archivo por tabla) y un script SQL de texto plano (CREATE + INSERT), este último especialmente útil para control de versiones en Git, ya que un archivo .db binario no se puede revisar en un diff.</w:t>
      </w:r>
    </w:p>
    <w:p w14:paraId="0825609C" w14:textId="77777777" w:rsidR="002E33CB" w:rsidRDefault="00000000">
      <w:pPr>
        <w:pStyle w:val="Ttulo1"/>
      </w:pPr>
      <w:r>
        <w:lastRenderedPageBreak/>
        <w:t>6. KPIs financieros</w:t>
      </w:r>
    </w:p>
    <w:p w14:paraId="1CF80815" w14:textId="77777777" w:rsidR="002E33CB" w:rsidRDefault="00000000" w:rsidP="005B3E4E">
      <w:pPr>
        <w:spacing w:after="160" w:line="276" w:lineRule="auto"/>
        <w:ind w:firstLine="708"/>
      </w:pPr>
      <w:r>
        <w:rPr>
          <w:color w:val="262626"/>
        </w:rPr>
        <w:t>Sobre las tablas limpias se calculan, a nivel departamento × categoría × mes: porcentaje de ejecución (ejecutado / presupuestado), desviación absoluta y porcentual, ejecución acumulada (YTD), y un flag de alerta cuando la desviación supera el 10%.</w:t>
      </w:r>
    </w:p>
    <w:p w14:paraId="725AC513" w14:textId="77777777" w:rsidR="002E33CB" w:rsidRDefault="00000000" w:rsidP="005B3E4E">
      <w:pPr>
        <w:spacing w:after="160" w:line="276" w:lineRule="auto"/>
        <w:ind w:firstLine="708"/>
      </w:pPr>
      <w:r>
        <w:rPr>
          <w:color w:val="262626"/>
        </w:rPr>
        <w:t>Se utilizó un LEFT JOIN desde presupuesto hacia la ejecución limpia — no un INNER JOIN — para que las 10 filas sin dato de ejecución válido permanecieran visibles como "sin dato" en vez de desaparecer silenciosamente del análisis.</w:t>
      </w:r>
    </w:p>
    <w:p w14:paraId="1F4753A1" w14:textId="77777777" w:rsidR="002E33CB" w:rsidRDefault="00000000" w:rsidP="005B3E4E">
      <w:pPr>
        <w:spacing w:after="160" w:line="276" w:lineRule="auto"/>
        <w:ind w:firstLine="708"/>
        <w:rPr>
          <w:color w:val="262626"/>
        </w:rPr>
      </w:pPr>
      <w:r>
        <w:rPr>
          <w:color w:val="262626"/>
        </w:rPr>
        <w:t>Resultado: 15 alertas de sobre</w:t>
      </w:r>
      <w:r w:rsidR="00E813F3">
        <w:rPr>
          <w:color w:val="262626"/>
        </w:rPr>
        <w:t xml:space="preserve"> </w:t>
      </w:r>
      <w:r>
        <w:rPr>
          <w:color w:val="262626"/>
        </w:rPr>
        <w:t>ejecución (&gt;10%) sobre 240 combinaciones, concentradas en Marketing y Tecnología y TI — departamentos que en 2025 invirtieron por encima de lo presupuestado para sostener el crecimiento de ingresos digitales.</w:t>
      </w:r>
    </w:p>
    <w:p w14:paraId="0E60065B" w14:textId="77777777" w:rsidR="00251DCF" w:rsidRDefault="00251DCF">
      <w:pPr>
        <w:spacing w:after="160" w:line="276" w:lineRule="auto"/>
      </w:pPr>
    </w:p>
    <w:p w14:paraId="14E093BF" w14:textId="77777777" w:rsidR="002E33CB" w:rsidRDefault="00000000">
      <w:pPr>
        <w:pStyle w:val="Ttulo1"/>
      </w:pPr>
      <w:r>
        <w:t>7. Ingresos y crecimiento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2E33CB" w14:paraId="701E6986" w14:textId="77777777">
        <w:trPr>
          <w:tblHeader/>
        </w:trPr>
        <w:tc>
          <w:tcPr>
            <w:tcW w:w="4000" w:type="dxa"/>
            <w:shd w:val="clear" w:color="auto" w:fill="0E2A47"/>
            <w:tcMar>
              <w:top w:w="80" w:type="dxa"/>
              <w:left w:w="120" w:type="dxa"/>
              <w:bottom w:w="80" w:type="dxa"/>
              <w:right w:w="120" w:type="dxa"/>
            </w:tcMar>
          </w:tcPr>
          <w:p w14:paraId="0690D331" w14:textId="77777777" w:rsidR="002E33CB" w:rsidRDefault="00000000">
            <w:r>
              <w:rPr>
                <w:b/>
                <w:bCs/>
                <w:color w:val="FFFFFF"/>
                <w:sz w:val="20"/>
                <w:szCs w:val="20"/>
              </w:rPr>
              <w:t>Línea de negocio</w:t>
            </w:r>
          </w:p>
        </w:tc>
        <w:tc>
          <w:tcPr>
            <w:tcW w:w="2500" w:type="dxa"/>
            <w:shd w:val="clear" w:color="auto" w:fill="0E2A47"/>
            <w:tcMar>
              <w:top w:w="80" w:type="dxa"/>
              <w:left w:w="120" w:type="dxa"/>
              <w:bottom w:w="80" w:type="dxa"/>
              <w:right w:w="120" w:type="dxa"/>
            </w:tcMar>
          </w:tcPr>
          <w:p w14:paraId="7D02B93E" w14:textId="77777777" w:rsidR="002E33CB" w:rsidRDefault="00000000">
            <w:r>
              <w:rPr>
                <w:b/>
                <w:bCs/>
                <w:color w:val="FFFFFF"/>
                <w:sz w:val="20"/>
                <w:szCs w:val="20"/>
              </w:rPr>
              <w:t>Departamento</w:t>
            </w:r>
          </w:p>
        </w:tc>
        <w:tc>
          <w:tcPr>
            <w:tcW w:w="2500" w:type="dxa"/>
            <w:shd w:val="clear" w:color="auto" w:fill="0E2A47"/>
            <w:tcMar>
              <w:top w:w="80" w:type="dxa"/>
              <w:left w:w="120" w:type="dxa"/>
              <w:bottom w:w="80" w:type="dxa"/>
              <w:right w:w="120" w:type="dxa"/>
            </w:tcMar>
          </w:tcPr>
          <w:p w14:paraId="6C89736F" w14:textId="77777777" w:rsidR="002E33CB" w:rsidRDefault="00000000">
            <w:r>
              <w:rPr>
                <w:b/>
                <w:bCs/>
                <w:color w:val="FFFFFF"/>
                <w:sz w:val="20"/>
                <w:szCs w:val="20"/>
              </w:rPr>
              <w:t>Crecimiento 2025 (ene→dic)</w:t>
            </w:r>
          </w:p>
        </w:tc>
      </w:tr>
      <w:tr w:rsidR="002E33CB" w14:paraId="73908101" w14:textId="77777777">
        <w:tc>
          <w:tcPr>
            <w:tcW w:w="4000" w:type="dxa"/>
            <w:tcMar>
              <w:top w:w="80" w:type="dxa"/>
              <w:left w:w="120" w:type="dxa"/>
              <w:bottom w:w="80" w:type="dxa"/>
              <w:right w:w="120" w:type="dxa"/>
            </w:tcMar>
          </w:tcPr>
          <w:p w14:paraId="59C331CA" w14:textId="77777777" w:rsidR="002E33CB" w:rsidRDefault="00000000">
            <w:r>
              <w:rPr>
                <w:color w:val="262626"/>
                <w:sz w:val="20"/>
                <w:szCs w:val="20"/>
              </w:rPr>
              <w:t>Servicios B2B Corporativos</w:t>
            </w:r>
          </w:p>
        </w:tc>
        <w:tc>
          <w:tcPr>
            <w:tcW w:w="2500" w:type="dxa"/>
            <w:tcMar>
              <w:top w:w="80" w:type="dxa"/>
              <w:left w:w="120" w:type="dxa"/>
              <w:bottom w:w="80" w:type="dxa"/>
              <w:right w:w="120" w:type="dxa"/>
            </w:tcMar>
          </w:tcPr>
          <w:p w14:paraId="3059F2D1" w14:textId="77777777" w:rsidR="002E33CB" w:rsidRDefault="00000000">
            <w:r>
              <w:rPr>
                <w:color w:val="262626"/>
                <w:sz w:val="20"/>
                <w:szCs w:val="20"/>
              </w:rPr>
              <w:t>Ventas B2B</w:t>
            </w:r>
          </w:p>
        </w:tc>
        <w:tc>
          <w:tcPr>
            <w:tcW w:w="2500" w:type="dxa"/>
            <w:tcMar>
              <w:top w:w="80" w:type="dxa"/>
              <w:left w:w="120" w:type="dxa"/>
              <w:bottom w:w="80" w:type="dxa"/>
              <w:right w:w="120" w:type="dxa"/>
            </w:tcMar>
          </w:tcPr>
          <w:p w14:paraId="05C50D01" w14:textId="77777777" w:rsidR="002E33CB" w:rsidRDefault="00000000">
            <w:r>
              <w:rPr>
                <w:color w:val="262626"/>
                <w:sz w:val="20"/>
                <w:szCs w:val="20"/>
              </w:rPr>
              <w:t>+18,3%</w:t>
            </w:r>
          </w:p>
        </w:tc>
      </w:tr>
      <w:tr w:rsidR="002E33CB" w14:paraId="69487767" w14:textId="77777777">
        <w:tc>
          <w:tcPr>
            <w:tcW w:w="4000" w:type="dxa"/>
            <w:tcMar>
              <w:top w:w="80" w:type="dxa"/>
              <w:left w:w="120" w:type="dxa"/>
              <w:bottom w:w="80" w:type="dxa"/>
              <w:right w:w="120" w:type="dxa"/>
            </w:tcMar>
          </w:tcPr>
          <w:p w14:paraId="09B1F28F" w14:textId="77777777" w:rsidR="002E33CB" w:rsidRDefault="00000000">
            <w:r>
              <w:rPr>
                <w:color w:val="262626"/>
                <w:sz w:val="20"/>
                <w:szCs w:val="20"/>
              </w:rPr>
              <w:t>Servicios Residenciales</w:t>
            </w:r>
          </w:p>
        </w:tc>
        <w:tc>
          <w:tcPr>
            <w:tcW w:w="2500" w:type="dxa"/>
            <w:tcMar>
              <w:top w:w="80" w:type="dxa"/>
              <w:left w:w="120" w:type="dxa"/>
              <w:bottom w:w="80" w:type="dxa"/>
              <w:right w:w="120" w:type="dxa"/>
            </w:tcMar>
          </w:tcPr>
          <w:p w14:paraId="0AB320B5" w14:textId="77777777" w:rsidR="002E33CB" w:rsidRDefault="00000000">
            <w:r>
              <w:rPr>
                <w:color w:val="262626"/>
                <w:sz w:val="20"/>
                <w:szCs w:val="20"/>
              </w:rPr>
              <w:t>Atención al Cliente</w:t>
            </w:r>
          </w:p>
        </w:tc>
        <w:tc>
          <w:tcPr>
            <w:tcW w:w="2500" w:type="dxa"/>
            <w:tcMar>
              <w:top w:w="80" w:type="dxa"/>
              <w:left w:w="120" w:type="dxa"/>
              <w:bottom w:w="80" w:type="dxa"/>
              <w:right w:w="120" w:type="dxa"/>
            </w:tcMar>
          </w:tcPr>
          <w:p w14:paraId="14FA818B" w14:textId="77777777" w:rsidR="002E33CB" w:rsidRDefault="00000000">
            <w:r>
              <w:rPr>
                <w:color w:val="262626"/>
                <w:sz w:val="20"/>
                <w:szCs w:val="20"/>
              </w:rPr>
              <w:t>+9,4%</w:t>
            </w:r>
          </w:p>
        </w:tc>
      </w:tr>
      <w:tr w:rsidR="002E33CB" w14:paraId="073DE1C2" w14:textId="77777777">
        <w:tc>
          <w:tcPr>
            <w:tcW w:w="4000" w:type="dxa"/>
            <w:tcMar>
              <w:top w:w="80" w:type="dxa"/>
              <w:left w:w="120" w:type="dxa"/>
              <w:bottom w:w="80" w:type="dxa"/>
              <w:right w:w="120" w:type="dxa"/>
            </w:tcMar>
          </w:tcPr>
          <w:p w14:paraId="1C199651" w14:textId="77777777" w:rsidR="002E33CB" w:rsidRDefault="00000000">
            <w:r>
              <w:rPr>
                <w:color w:val="262626"/>
                <w:sz w:val="20"/>
                <w:szCs w:val="20"/>
              </w:rPr>
              <w:t>Servicios de Valor Añadido (Cloud/Digital)</w:t>
            </w:r>
          </w:p>
        </w:tc>
        <w:tc>
          <w:tcPr>
            <w:tcW w:w="2500" w:type="dxa"/>
            <w:tcMar>
              <w:top w:w="80" w:type="dxa"/>
              <w:left w:w="120" w:type="dxa"/>
              <w:bottom w:w="80" w:type="dxa"/>
              <w:right w:w="120" w:type="dxa"/>
            </w:tcMar>
          </w:tcPr>
          <w:p w14:paraId="1CA86A7C" w14:textId="77777777" w:rsidR="002E33CB" w:rsidRDefault="00000000">
            <w:r>
              <w:rPr>
                <w:color w:val="262626"/>
                <w:sz w:val="20"/>
                <w:szCs w:val="20"/>
              </w:rPr>
              <w:t>Tecnología y TI</w:t>
            </w:r>
          </w:p>
        </w:tc>
        <w:tc>
          <w:tcPr>
            <w:tcW w:w="2500" w:type="dxa"/>
            <w:tcMar>
              <w:top w:w="80" w:type="dxa"/>
              <w:left w:w="120" w:type="dxa"/>
              <w:bottom w:w="80" w:type="dxa"/>
              <w:right w:w="120" w:type="dxa"/>
            </w:tcMar>
          </w:tcPr>
          <w:p w14:paraId="0409CE59" w14:textId="77777777" w:rsidR="002E33CB" w:rsidRDefault="00000000">
            <w:r>
              <w:rPr>
                <w:color w:val="262626"/>
                <w:sz w:val="20"/>
                <w:szCs w:val="20"/>
              </w:rPr>
              <w:t>+37,8%</w:t>
            </w:r>
          </w:p>
        </w:tc>
      </w:tr>
    </w:tbl>
    <w:p w14:paraId="6C0A9682" w14:textId="77777777" w:rsidR="002E33CB" w:rsidRDefault="00000000">
      <w:pPr>
        <w:spacing w:after="160" w:line="276" w:lineRule="auto"/>
      </w:pPr>
      <w:r>
        <w:rPr>
          <w:color w:val="262626"/>
        </w:rPr>
        <w:t>Margen operativo 2025: 29,3% (ingresos totales 6.095.934 € menos gastos ejecutados 4.306.856 €) — consistente con una empresa de servicios B2B saludable y en fase de crecimiento.</w:t>
      </w:r>
    </w:p>
    <w:p w14:paraId="6D3CDA8E" w14:textId="77777777" w:rsidR="002E33CB" w:rsidRDefault="00000000">
      <w:pPr>
        <w:pStyle w:val="Ttulo1"/>
      </w:pPr>
      <w:r>
        <w:t>8. Forecast 2026</w:t>
      </w:r>
    </w:p>
    <w:p w14:paraId="529977FD" w14:textId="77777777" w:rsidR="002E33CB" w:rsidRDefault="00000000" w:rsidP="005B3E4E">
      <w:pPr>
        <w:spacing w:after="160" w:line="276" w:lineRule="auto"/>
        <w:ind w:firstLine="708"/>
        <w:rPr>
          <w:color w:val="262626"/>
        </w:rPr>
      </w:pPr>
      <w:r>
        <w:rPr>
          <w:color w:val="262626"/>
        </w:rPr>
        <w:t xml:space="preserve">Esta es la sección más defendible del proyecto porque cada número tiene una razón de negocio explícita detrás — no hay ninguna cifra que salga de "aplicar una fórmula porque sí". A </w:t>
      </w:r>
      <w:r w:rsidR="00251DCF">
        <w:rPr>
          <w:color w:val="262626"/>
        </w:rPr>
        <w:t>continuación,</w:t>
      </w:r>
      <w:r>
        <w:rPr>
          <w:color w:val="262626"/>
        </w:rPr>
        <w:t xml:space="preserve"> se explica el razonamiento completo, en el mismo orden en que se construyó.</w:t>
      </w:r>
    </w:p>
    <w:p w14:paraId="65B6DA97" w14:textId="77777777" w:rsidR="005B3E4E" w:rsidRDefault="005B3E4E">
      <w:pPr>
        <w:spacing w:after="160" w:line="276" w:lineRule="auto"/>
        <w:rPr>
          <w:color w:val="262626"/>
        </w:rPr>
      </w:pPr>
    </w:p>
    <w:p w14:paraId="400E1348" w14:textId="77777777" w:rsidR="005B3E4E" w:rsidRDefault="005B3E4E">
      <w:pPr>
        <w:spacing w:after="160" w:line="276" w:lineRule="auto"/>
      </w:pPr>
    </w:p>
    <w:p w14:paraId="649D0F3B" w14:textId="77777777" w:rsidR="002E33CB" w:rsidRDefault="00000000">
      <w:pPr>
        <w:pStyle w:val="Ttulo2"/>
      </w:pPr>
      <w:r>
        <w:t>8.1 Por qué tres métodos distintos, no uno solo</w:t>
      </w:r>
    </w:p>
    <w:p w14:paraId="785E40F8" w14:textId="77777777" w:rsidR="002E33CB" w:rsidRDefault="00000000">
      <w:pPr>
        <w:spacing w:after="160" w:line="276" w:lineRule="auto"/>
      </w:pPr>
      <w:r>
        <w:rPr>
          <w:color w:val="262626"/>
        </w:rPr>
        <w:t>La tentación más común al hacer un forecast es aplicar una sola técnica (por ejemplo, "todo crece 10%") a todas las magnitudes. Se evitó deliberadamente, porque ingresos, presupuesto y gasto no son la misma clase de número:</w:t>
      </w:r>
    </w:p>
    <w:p w14:paraId="52EF5192" w14:textId="77777777" w:rsidR="002E33CB" w:rsidRDefault="00000000">
      <w:pPr>
        <w:pStyle w:val="Prrafodelista"/>
        <w:numPr>
          <w:ilvl w:val="0"/>
          <w:numId w:val="1"/>
        </w:numPr>
        <w:spacing w:after="80"/>
      </w:pPr>
      <w:r>
        <w:t>Ingresos: son un resultado que depende del mercado — se pueden observar patrones históricos y proyectarlos, con incertidumbre explícita.</w:t>
      </w:r>
    </w:p>
    <w:p w14:paraId="42192209" w14:textId="77777777" w:rsidR="002E33CB" w:rsidRDefault="00000000">
      <w:pPr>
        <w:pStyle w:val="Prrafodelista"/>
        <w:numPr>
          <w:ilvl w:val="0"/>
          <w:numId w:val="1"/>
        </w:numPr>
        <w:spacing w:after="80"/>
      </w:pPr>
      <w:r>
        <w:t>Presupuesto: es una decisión que toma la propia empresa — no se "predice", se planifica.</w:t>
      </w:r>
    </w:p>
    <w:p w14:paraId="593B7E7F" w14:textId="77777777" w:rsidR="002E33CB" w:rsidRDefault="00000000">
      <w:pPr>
        <w:pStyle w:val="Prrafodelista"/>
        <w:numPr>
          <w:ilvl w:val="0"/>
          <w:numId w:val="1"/>
        </w:numPr>
        <w:spacing w:after="80"/>
      </w:pPr>
      <w:r>
        <w:lastRenderedPageBreak/>
        <w:t>Gasto esperado: es un comportamiento organizacional (qué tanto tiende a desviarse cada equipo de lo presupuestado) — se estima a partir de su propio historial.</w:t>
      </w:r>
    </w:p>
    <w:p w14:paraId="5A70B610" w14:textId="77777777" w:rsidR="002E33CB" w:rsidRDefault="00000000">
      <w:pPr>
        <w:spacing w:after="160" w:line="276" w:lineRule="auto"/>
      </w:pPr>
      <w:r>
        <w:rPr>
          <w:color w:val="262626"/>
        </w:rPr>
        <w:t>Tratar estas tres cosas con el mismo método sería estadísticamente incorrecto y, ante el profesor, fácil de cuestionar. Tratarlas distinto y poder explicar por qué es, en sí mismo, el argumento más sólido del proyecto.</w:t>
      </w:r>
    </w:p>
    <w:p w14:paraId="31055B2E" w14:textId="77777777" w:rsidR="002E33CB" w:rsidRDefault="00000000">
      <w:pPr>
        <w:pStyle w:val="Ttulo2"/>
      </w:pPr>
      <w:r>
        <w:t>8.2 Ingresos: proyección estadística con incertidumbre</w:t>
      </w:r>
    </w:p>
    <w:p w14:paraId="3587C59C" w14:textId="77777777" w:rsidR="002E33CB" w:rsidRDefault="00000000">
      <w:pPr>
        <w:spacing w:after="160" w:line="276" w:lineRule="auto"/>
      </w:pPr>
      <w:r>
        <w:rPr>
          <w:color w:val="262626"/>
        </w:rPr>
        <w:t xml:space="preserve">Se usó descomposición en tendencia </w:t>
      </w:r>
      <w:r w:rsidR="00251DCF">
        <w:rPr>
          <w:color w:val="262626"/>
        </w:rPr>
        <w:t>más</w:t>
      </w:r>
      <w:r>
        <w:rPr>
          <w:color w:val="262626"/>
        </w:rPr>
        <w:t xml:space="preserve"> estacionalidad, calculada así:</w:t>
      </w:r>
    </w:p>
    <w:p w14:paraId="34B4B99B" w14:textId="77777777" w:rsidR="002E33CB" w:rsidRDefault="00000000">
      <w:pPr>
        <w:pStyle w:val="Prrafodelista"/>
        <w:numPr>
          <w:ilvl w:val="0"/>
          <w:numId w:val="1"/>
        </w:numPr>
        <w:spacing w:after="80"/>
      </w:pPr>
      <w:r>
        <w:t>Tendencia: regresión lineal por mínimos cuadrados (numpy.polyfit) sobre los 12 meses de 2025 de cada línea de negocio — la recta que mejor resume el crecimiento general.</w:t>
      </w:r>
    </w:p>
    <w:p w14:paraId="1441312C" w14:textId="77777777" w:rsidR="002E33CB" w:rsidRDefault="00000000">
      <w:pPr>
        <w:pStyle w:val="Prrafodelista"/>
        <w:numPr>
          <w:ilvl w:val="0"/>
          <w:numId w:val="1"/>
        </w:numPr>
        <w:spacing w:after="80"/>
      </w:pPr>
      <w:r>
        <w:t>Estacionalidad: índice mensual = valor real ÷ valor de tendencia. Un índice de 0,90 en agosto significa que ese mes vende 10% menos de lo que la tendencia general predice.</w:t>
      </w:r>
    </w:p>
    <w:p w14:paraId="240831DD" w14:textId="77777777" w:rsidR="002E33CB" w:rsidRDefault="00000000">
      <w:pPr>
        <w:pStyle w:val="Prrafodelista"/>
        <w:numPr>
          <w:ilvl w:val="0"/>
          <w:numId w:val="1"/>
        </w:numPr>
        <w:spacing w:after="80"/>
      </w:pPr>
      <w:r>
        <w:t>Proyección: se extiende la recta de tendencia 12 meses más (2026) y se le reaplica el índice estacional correspondiente a cada mes.</w:t>
      </w:r>
    </w:p>
    <w:p w14:paraId="696DACB2" w14:textId="77777777" w:rsidR="002E33CB" w:rsidRDefault="00000000">
      <w:pPr>
        <w:spacing w:after="160" w:line="276" w:lineRule="auto"/>
        <w:rPr>
          <w:color w:val="262626"/>
        </w:rPr>
      </w:pPr>
      <w:r>
        <w:rPr>
          <w:color w:val="262626"/>
        </w:rPr>
        <w:t>Resultado: ingresos 2025 de 6.095.934 € proyectados a 7.028.269 € en 2026 (+15,3%), impulsados principalmente por Servicios de Valor Añadido/Cloud (+37,8% observado en 2025, la línea de mayor crecimiento).</w:t>
      </w:r>
    </w:p>
    <w:p w14:paraId="2F871875" w14:textId="77777777" w:rsidR="00251DCF" w:rsidRDefault="00251DCF">
      <w:pPr>
        <w:spacing w:after="160" w:line="276" w:lineRule="auto"/>
      </w:pPr>
    </w:p>
    <w:p w14:paraId="6CC21AA4" w14:textId="77777777" w:rsidR="002E33CB" w:rsidRDefault="00000000">
      <w:pPr>
        <w:pStyle w:val="Ttulo2"/>
      </w:pPr>
      <w:r>
        <w:t>8.3 Incertidumbre: el intervalo de confianza</w:t>
      </w:r>
    </w:p>
    <w:p w14:paraId="6D84F31F" w14:textId="77777777" w:rsidR="002E33CB" w:rsidRDefault="00000000">
      <w:pPr>
        <w:spacing w:after="160" w:line="276" w:lineRule="auto"/>
      </w:pPr>
      <w:r>
        <w:rPr>
          <w:color w:val="262626"/>
        </w:rPr>
        <w:t>Ningún forecast estadístico es una cifra única y cierta — es una cifra central con un margen de error. Se calculó el error estándar de los residuos de cada regresión (la diferencia entre el valor real y el valor de tendencia) y se construyó una banda de confianza del 95% (± 1,96 × error estándar), la convención estadística estándar.</w:t>
      </w:r>
    </w:p>
    <w:p w14:paraId="206FDBAF" w14:textId="77777777" w:rsidR="002E33CB" w:rsidRDefault="00000000">
      <w:pPr>
        <w:spacing w:after="160" w:line="276" w:lineRule="auto"/>
      </w:pPr>
      <w:r>
        <w:rPr>
          <w:color w:val="262626"/>
        </w:rPr>
        <w:t>Ejemplo — Servicios B2B Corporativos: proyección puntual 3.821.902 €, rango 95% [3.751.888 € – 3.891.917 €]. Esto significa: "si el patrón de 2025 se mantiene, hay un 95% de probabilidad de que el resultado real de 2026 caiga dentro de ese rango" — una afirmación defendible, a diferencia de prometer una cifra exacta.</w:t>
      </w:r>
    </w:p>
    <w:p w14:paraId="7E4B7FF1" w14:textId="77777777" w:rsidR="002E33CB" w:rsidRDefault="00000000">
      <w:pPr>
        <w:pStyle w:val="Ttulo2"/>
      </w:pPr>
      <w:r>
        <w:t>8.4 Presupuesto 2026: decisión de planificación, no predicción</w:t>
      </w:r>
    </w:p>
    <w:p w14:paraId="317849AC" w14:textId="77777777" w:rsidR="002E33CB" w:rsidRDefault="00000000">
      <w:pPr>
        <w:spacing w:after="160" w:line="276" w:lineRule="auto"/>
      </w:pPr>
      <w:r>
        <w:rPr>
          <w:color w:val="262626"/>
        </w:rPr>
        <w:t xml:space="preserve">No se usó ninguna regresión. Se tomó el presupuesto real de cada mes de 2025 (preservando su variación natural mes a mes) y se aplicó un incremento planificado: 6% en Marketing y Tecnología y TI — formalizando la inversión que esos departamentos ya hicieron de facto en 2025 al </w:t>
      </w:r>
      <w:r w:rsidR="00E877EE">
        <w:rPr>
          <w:color w:val="262626"/>
        </w:rPr>
        <w:t>sobre ejecutar</w:t>
      </w:r>
      <w:r>
        <w:rPr>
          <w:color w:val="262626"/>
        </w:rPr>
        <w:t xml:space="preserve"> su presupuesto — y 3% en el resto, como ajuste estándar. Resultado: 4.303.498 € (2025) → 4.482.809 € (2026), +4,2%.</w:t>
      </w:r>
    </w:p>
    <w:p w14:paraId="6EAF0E8B" w14:textId="77777777" w:rsidR="002E33CB" w:rsidRDefault="00000000">
      <w:pPr>
        <w:pStyle w:val="Ttulo2"/>
      </w:pPr>
      <w:r>
        <w:t>8.5 Gasto esperado 2026: ratio histórico de ejecución mensual</w:t>
      </w:r>
    </w:p>
    <w:p w14:paraId="4CCDDA24" w14:textId="77777777" w:rsidR="002E33CB" w:rsidRDefault="00000000">
      <w:pPr>
        <w:spacing w:after="160" w:line="276" w:lineRule="auto"/>
      </w:pPr>
      <w:r>
        <w:rPr>
          <w:color w:val="262626"/>
        </w:rPr>
        <w:t>Se calculó qué porcentaje de su presupuesto ejecutó realmente cada departamento/categoría, mes a mes, en 2025 (no un promedio anual, sino el dato de cada mes individual — así se conserva si un equipo tiende a gastar más en ciertos meses del año), y ese mismo porcentaje mensual se aplicó sobre el nuevo presupuesto 2026. Resultado: 4.626.177 €, con variación mensual real (de 378.435 € en septiembre a 391.977 € en abril) en vez de un valor plano repetido los 12 meses.</w:t>
      </w:r>
    </w:p>
    <w:p w14:paraId="1036636F" w14:textId="77777777" w:rsidR="002E33CB" w:rsidRDefault="00000000">
      <w:pPr>
        <w:pStyle w:val="Ttulo2"/>
      </w:pPr>
      <w:r>
        <w:lastRenderedPageBreak/>
        <w:t>8.6 La evolución del modelo: por qué existe una versión 2</w:t>
      </w:r>
    </w:p>
    <w:p w14:paraId="11915053" w14:textId="77777777" w:rsidR="002E33CB" w:rsidRDefault="00000000">
      <w:pPr>
        <w:spacing w:after="160" w:line="276" w:lineRule="auto"/>
      </w:pPr>
      <w:r>
        <w:rPr>
          <w:color w:val="262626"/>
        </w:rPr>
        <w:t>La primera versión del gasto esperado y del presupuesto 2026 usaba el promedio anual de 2025 como base, lo que producía el mismo monto los 12 meses — matemáticamente correcto, pero poco realista para algo que se presenta como "forecast". Al revisarlo en una tabla dinámica de Excel, se identificó ese problema, y se corrigió preservando el detalle mensual real de 2025 en vez de promediarlo primero. El resultado final cambió muy poco en el total anual (4.633.122 € → 4.626.177 €, una diferencia de 0,15%), pero ganó realismo mes a mes. Este ajuste queda documentado como evidencia de revisión crítica del propio trabajo, no como un error oculto.</w:t>
      </w:r>
    </w:p>
    <w:p w14:paraId="0EC34012" w14:textId="77777777" w:rsidR="002E33CB" w:rsidRDefault="00000000">
      <w:pPr>
        <w:pStyle w:val="Ttulo2"/>
      </w:pPr>
      <w:r>
        <w:t>8.7 De dónde salen los datos — una aclaración importante</w:t>
      </w:r>
    </w:p>
    <w:p w14:paraId="737DA3B0" w14:textId="77777777" w:rsidR="002E33CB" w:rsidRDefault="00000000">
      <w:pPr>
        <w:spacing w:after="160" w:line="276" w:lineRule="auto"/>
      </w:pPr>
      <w:r>
        <w:rPr>
          <w:color w:val="262626"/>
        </w:rPr>
        <w:t>Todo el forecast 2026 se construye exclusivamente a partir de los 12 meses de 2025 generados dentro de este mismo proyecto — no hay ninguna fuente de datos externa. Esos 12 meses de 2025 son, a su vez, un dataset sintético calibrado con referencias reales del mercado español (salario medio INE, +30% de Seguridad Social), pero las cifras mensuales específicas y sus tendencias de crecimiento fueron parámetros definidos al construir el dataset, no observaciones de una empresa real.</w:t>
      </w:r>
    </w:p>
    <w:p w14:paraId="35FD9D23" w14:textId="77777777" w:rsidR="002E33CB" w:rsidRDefault="00000000">
      <w:pPr>
        <w:spacing w:after="160" w:line="276" w:lineRule="auto"/>
      </w:pPr>
      <w:r>
        <w:rPr>
          <w:color w:val="262626"/>
        </w:rPr>
        <w:t>Esto no invalida el ejercicio: la metodología (regresión, estacionalidad, intervalo de confianza, ratio histórico) es exactamente la misma que se aplicaría con datos reales, y es replicable con cualquier dataset real que tenga esta misma estructura. La respuesta honesta ante la pregunta "¿de dónde salen estos números?" es: de los propios datos simulados de 2025 de este proyecto, calibrados con referencias reales, no de una fuente externa.</w:t>
      </w:r>
    </w:p>
    <w:p w14:paraId="5D82077A" w14:textId="77777777" w:rsidR="002E33CB" w:rsidRDefault="00000000">
      <w:pPr>
        <w:pStyle w:val="Ttulo2"/>
      </w:pPr>
      <w:r>
        <w:t>8.8 Reproducibilidad: un script, no una caja negra</w:t>
      </w:r>
    </w:p>
    <w:p w14:paraId="6065C343" w14:textId="77777777" w:rsidR="002E33CB" w:rsidRDefault="00000000">
      <w:pPr>
        <w:spacing w:after="160" w:line="276" w:lineRule="auto"/>
      </w:pPr>
      <w:r>
        <w:rPr>
          <w:color w:val="262626"/>
        </w:rPr>
        <w:t xml:space="preserve">Todo el cálculo anterior vive en un único script (src/calcular_forecast_2026.py), no en fragmentos sueltos ni en una hoja de cálculo manual. El script parte de las tablas reales del proyecto (presupuesto, </w:t>
      </w:r>
      <w:r w:rsidR="00EE6C7D">
        <w:rPr>
          <w:color w:val="262626"/>
        </w:rPr>
        <w:t>Datos limpios (</w:t>
      </w:r>
      <w:r>
        <w:rPr>
          <w:color w:val="262626"/>
        </w:rPr>
        <w:t>ejecucion_real_limpia</w:t>
      </w:r>
      <w:r w:rsidR="00EE6C7D">
        <w:rPr>
          <w:color w:val="262626"/>
        </w:rPr>
        <w:t>)</w:t>
      </w:r>
      <w:r>
        <w:rPr>
          <w:color w:val="262626"/>
        </w:rPr>
        <w:t>, ingresos, kpi_presupuesto_detallado), es determinístico (no usa números aleatorios ni depende del momento en que se ejecuta) e idempotente (se puede correr varias veces sin duplicar datos ni alterar resultados). Verificado: dos ejecuciones consecutivas producen exactamente los mismos totales.</w:t>
      </w:r>
    </w:p>
    <w:p w14:paraId="3B00C96A" w14:textId="77777777" w:rsidR="002E33CB" w:rsidRDefault="00000000">
      <w:pPr>
        <w:pStyle w:val="Ttulo2"/>
      </w:pPr>
      <w:r>
        <w:t>8.9 Limitación reconocida</w:t>
      </w:r>
    </w:p>
    <w:p w14:paraId="283BCCD0" w14:textId="77777777" w:rsidR="002E33CB" w:rsidRDefault="00000000">
      <w:pPr>
        <w:spacing w:after="160" w:line="276" w:lineRule="auto"/>
      </w:pPr>
      <w:r>
        <w:rPr>
          <w:color w:val="262626"/>
        </w:rPr>
        <w:t>Con solo 12 meses de historia no es posible aplicar una descomposición estacional clásica robusta (que típicamente requiere al menos 24 meses, es decir, dos ciclos completos). Se usó una versión simplificada y explicable — tendencia lineal + índice estacional de un solo ciclo — adecuada para el alcance de este proyecto, pero no equivalente a un modelo de series temporales con varios años de datos. Reconocer esta limitación abiertamente, en vez de ocultarla, es parte de lo que hace la proyección defendible.</w:t>
      </w:r>
    </w:p>
    <w:p w14:paraId="192D1138" w14:textId="77777777" w:rsidR="002E33CB" w:rsidRDefault="002E33C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600"/>
        <w:gridCol w:w="2600"/>
      </w:tblGrid>
      <w:tr w:rsidR="002E33CB" w14:paraId="03AB7B77" w14:textId="77777777">
        <w:trPr>
          <w:tblHeader/>
        </w:trPr>
        <w:tc>
          <w:tcPr>
            <w:tcW w:w="2600" w:type="dxa"/>
            <w:shd w:val="clear" w:color="auto" w:fill="0E2A47"/>
            <w:tcMar>
              <w:top w:w="80" w:type="dxa"/>
              <w:left w:w="120" w:type="dxa"/>
              <w:bottom w:w="80" w:type="dxa"/>
              <w:right w:w="120" w:type="dxa"/>
            </w:tcMar>
          </w:tcPr>
          <w:p w14:paraId="70FA5A06" w14:textId="77777777" w:rsidR="002E33CB" w:rsidRDefault="00000000">
            <w:r>
              <w:rPr>
                <w:b/>
                <w:bCs/>
                <w:color w:val="FFFFFF"/>
                <w:sz w:val="20"/>
                <w:szCs w:val="20"/>
              </w:rPr>
              <w:t>Magnitud</w:t>
            </w:r>
          </w:p>
        </w:tc>
        <w:tc>
          <w:tcPr>
            <w:tcW w:w="2200" w:type="dxa"/>
            <w:shd w:val="clear" w:color="auto" w:fill="0E2A47"/>
            <w:tcMar>
              <w:top w:w="80" w:type="dxa"/>
              <w:left w:w="120" w:type="dxa"/>
              <w:bottom w:w="80" w:type="dxa"/>
              <w:right w:w="120" w:type="dxa"/>
            </w:tcMar>
          </w:tcPr>
          <w:p w14:paraId="4F5C795C" w14:textId="77777777" w:rsidR="002E33CB" w:rsidRDefault="00000000">
            <w:r>
              <w:rPr>
                <w:b/>
                <w:bCs/>
                <w:color w:val="FFFFFF"/>
                <w:sz w:val="20"/>
                <w:szCs w:val="20"/>
              </w:rPr>
              <w:t>2026 proyectado</w:t>
            </w:r>
          </w:p>
        </w:tc>
        <w:tc>
          <w:tcPr>
            <w:tcW w:w="1600" w:type="dxa"/>
            <w:shd w:val="clear" w:color="auto" w:fill="0E2A47"/>
            <w:tcMar>
              <w:top w:w="80" w:type="dxa"/>
              <w:left w:w="120" w:type="dxa"/>
              <w:bottom w:w="80" w:type="dxa"/>
              <w:right w:w="120" w:type="dxa"/>
            </w:tcMar>
          </w:tcPr>
          <w:p w14:paraId="29A8AEE4" w14:textId="77777777" w:rsidR="002E33CB" w:rsidRDefault="00000000">
            <w:r>
              <w:rPr>
                <w:b/>
                <w:bCs/>
                <w:color w:val="FFFFFF"/>
                <w:sz w:val="20"/>
                <w:szCs w:val="20"/>
              </w:rPr>
              <w:t>vs. 2025</w:t>
            </w:r>
          </w:p>
        </w:tc>
        <w:tc>
          <w:tcPr>
            <w:tcW w:w="2600" w:type="dxa"/>
            <w:shd w:val="clear" w:color="auto" w:fill="0E2A47"/>
            <w:tcMar>
              <w:top w:w="80" w:type="dxa"/>
              <w:left w:w="120" w:type="dxa"/>
              <w:bottom w:w="80" w:type="dxa"/>
              <w:right w:w="120" w:type="dxa"/>
            </w:tcMar>
          </w:tcPr>
          <w:p w14:paraId="474A2CF5" w14:textId="77777777" w:rsidR="002E33CB" w:rsidRDefault="00000000">
            <w:r>
              <w:rPr>
                <w:b/>
                <w:bCs/>
                <w:color w:val="FFFFFF"/>
                <w:sz w:val="20"/>
                <w:szCs w:val="20"/>
              </w:rPr>
              <w:t>Método</w:t>
            </w:r>
          </w:p>
        </w:tc>
      </w:tr>
      <w:tr w:rsidR="002E33CB" w14:paraId="34BF56AE" w14:textId="77777777">
        <w:tc>
          <w:tcPr>
            <w:tcW w:w="2600" w:type="dxa"/>
            <w:tcMar>
              <w:top w:w="80" w:type="dxa"/>
              <w:left w:w="120" w:type="dxa"/>
              <w:bottom w:w="80" w:type="dxa"/>
              <w:right w:w="120" w:type="dxa"/>
            </w:tcMar>
          </w:tcPr>
          <w:p w14:paraId="64AC2A24" w14:textId="77777777" w:rsidR="002E33CB" w:rsidRDefault="00000000">
            <w:r>
              <w:rPr>
                <w:color w:val="262626"/>
                <w:sz w:val="20"/>
                <w:szCs w:val="20"/>
              </w:rPr>
              <w:t>Ingresos</w:t>
            </w:r>
          </w:p>
        </w:tc>
        <w:tc>
          <w:tcPr>
            <w:tcW w:w="2200" w:type="dxa"/>
            <w:tcMar>
              <w:top w:w="80" w:type="dxa"/>
              <w:left w:w="120" w:type="dxa"/>
              <w:bottom w:w="80" w:type="dxa"/>
              <w:right w:w="120" w:type="dxa"/>
            </w:tcMar>
          </w:tcPr>
          <w:p w14:paraId="3BD9A3D6" w14:textId="77777777" w:rsidR="002E33CB" w:rsidRDefault="00000000">
            <w:r>
              <w:rPr>
                <w:color w:val="262626"/>
                <w:sz w:val="20"/>
                <w:szCs w:val="20"/>
              </w:rPr>
              <w:t>7.028.269 €</w:t>
            </w:r>
          </w:p>
        </w:tc>
        <w:tc>
          <w:tcPr>
            <w:tcW w:w="1600" w:type="dxa"/>
            <w:tcMar>
              <w:top w:w="80" w:type="dxa"/>
              <w:left w:w="120" w:type="dxa"/>
              <w:bottom w:w="80" w:type="dxa"/>
              <w:right w:w="120" w:type="dxa"/>
            </w:tcMar>
          </w:tcPr>
          <w:p w14:paraId="276F0CC7" w14:textId="77777777" w:rsidR="002E33CB" w:rsidRDefault="00000000">
            <w:r>
              <w:rPr>
                <w:color w:val="262626"/>
                <w:sz w:val="20"/>
                <w:szCs w:val="20"/>
              </w:rPr>
              <w:t>+15,3%</w:t>
            </w:r>
          </w:p>
        </w:tc>
        <w:tc>
          <w:tcPr>
            <w:tcW w:w="2600" w:type="dxa"/>
            <w:tcMar>
              <w:top w:w="80" w:type="dxa"/>
              <w:left w:w="120" w:type="dxa"/>
              <w:bottom w:w="80" w:type="dxa"/>
              <w:right w:w="120" w:type="dxa"/>
            </w:tcMar>
          </w:tcPr>
          <w:p w14:paraId="6A4A056F" w14:textId="77777777" w:rsidR="002E33CB" w:rsidRDefault="00000000">
            <w:r>
              <w:rPr>
                <w:color w:val="262626"/>
                <w:sz w:val="20"/>
                <w:szCs w:val="20"/>
              </w:rPr>
              <w:t>Tendencia + estacionalidad + IC 95%</w:t>
            </w:r>
          </w:p>
        </w:tc>
      </w:tr>
      <w:tr w:rsidR="002E33CB" w14:paraId="36686E02" w14:textId="77777777">
        <w:tc>
          <w:tcPr>
            <w:tcW w:w="2600" w:type="dxa"/>
            <w:tcMar>
              <w:top w:w="80" w:type="dxa"/>
              <w:left w:w="120" w:type="dxa"/>
              <w:bottom w:w="80" w:type="dxa"/>
              <w:right w:w="120" w:type="dxa"/>
            </w:tcMar>
          </w:tcPr>
          <w:p w14:paraId="2B6D2582" w14:textId="77777777" w:rsidR="002E33CB" w:rsidRDefault="00000000">
            <w:r>
              <w:rPr>
                <w:color w:val="262626"/>
                <w:sz w:val="20"/>
                <w:szCs w:val="20"/>
              </w:rPr>
              <w:lastRenderedPageBreak/>
              <w:t>Presupuesto</w:t>
            </w:r>
          </w:p>
        </w:tc>
        <w:tc>
          <w:tcPr>
            <w:tcW w:w="2200" w:type="dxa"/>
            <w:tcMar>
              <w:top w:w="80" w:type="dxa"/>
              <w:left w:w="120" w:type="dxa"/>
              <w:bottom w:w="80" w:type="dxa"/>
              <w:right w:w="120" w:type="dxa"/>
            </w:tcMar>
          </w:tcPr>
          <w:p w14:paraId="1544ACF8" w14:textId="77777777" w:rsidR="002E33CB" w:rsidRDefault="00000000">
            <w:r>
              <w:rPr>
                <w:color w:val="262626"/>
                <w:sz w:val="20"/>
                <w:szCs w:val="20"/>
              </w:rPr>
              <w:t>4.482.809 €</w:t>
            </w:r>
          </w:p>
        </w:tc>
        <w:tc>
          <w:tcPr>
            <w:tcW w:w="1600" w:type="dxa"/>
            <w:tcMar>
              <w:top w:w="80" w:type="dxa"/>
              <w:left w:w="120" w:type="dxa"/>
              <w:bottom w:w="80" w:type="dxa"/>
              <w:right w:w="120" w:type="dxa"/>
            </w:tcMar>
          </w:tcPr>
          <w:p w14:paraId="06AC572D" w14:textId="77777777" w:rsidR="002E33CB" w:rsidRDefault="00000000">
            <w:r>
              <w:rPr>
                <w:color w:val="262626"/>
                <w:sz w:val="20"/>
                <w:szCs w:val="20"/>
              </w:rPr>
              <w:t>+4,2%</w:t>
            </w:r>
          </w:p>
        </w:tc>
        <w:tc>
          <w:tcPr>
            <w:tcW w:w="2600" w:type="dxa"/>
            <w:tcMar>
              <w:top w:w="80" w:type="dxa"/>
              <w:left w:w="120" w:type="dxa"/>
              <w:bottom w:w="80" w:type="dxa"/>
              <w:right w:w="120" w:type="dxa"/>
            </w:tcMar>
          </w:tcPr>
          <w:p w14:paraId="1C990BDA" w14:textId="77777777" w:rsidR="002E33CB" w:rsidRDefault="00000000">
            <w:r>
              <w:rPr>
                <w:color w:val="262626"/>
                <w:sz w:val="20"/>
                <w:szCs w:val="20"/>
              </w:rPr>
              <w:t>Incremento planificado (6%/3%)</w:t>
            </w:r>
          </w:p>
        </w:tc>
      </w:tr>
      <w:tr w:rsidR="002E33CB" w14:paraId="5EC1F6D8" w14:textId="77777777">
        <w:tc>
          <w:tcPr>
            <w:tcW w:w="2600" w:type="dxa"/>
            <w:tcMar>
              <w:top w:w="80" w:type="dxa"/>
              <w:left w:w="120" w:type="dxa"/>
              <w:bottom w:w="80" w:type="dxa"/>
              <w:right w:w="120" w:type="dxa"/>
            </w:tcMar>
          </w:tcPr>
          <w:p w14:paraId="5F5104F6" w14:textId="77777777" w:rsidR="002E33CB" w:rsidRDefault="00000000">
            <w:r>
              <w:rPr>
                <w:color w:val="262626"/>
                <w:sz w:val="20"/>
                <w:szCs w:val="20"/>
              </w:rPr>
              <w:t>Gasto esperado</w:t>
            </w:r>
          </w:p>
        </w:tc>
        <w:tc>
          <w:tcPr>
            <w:tcW w:w="2200" w:type="dxa"/>
            <w:tcMar>
              <w:top w:w="80" w:type="dxa"/>
              <w:left w:w="120" w:type="dxa"/>
              <w:bottom w:w="80" w:type="dxa"/>
              <w:right w:w="120" w:type="dxa"/>
            </w:tcMar>
          </w:tcPr>
          <w:p w14:paraId="42384116" w14:textId="77777777" w:rsidR="002E33CB" w:rsidRDefault="00000000">
            <w:r>
              <w:rPr>
                <w:color w:val="262626"/>
                <w:sz w:val="20"/>
                <w:szCs w:val="20"/>
              </w:rPr>
              <w:t>4.626.177 €</w:t>
            </w:r>
          </w:p>
        </w:tc>
        <w:tc>
          <w:tcPr>
            <w:tcW w:w="1600" w:type="dxa"/>
            <w:tcMar>
              <w:top w:w="80" w:type="dxa"/>
              <w:left w:w="120" w:type="dxa"/>
              <w:bottom w:w="80" w:type="dxa"/>
              <w:right w:w="120" w:type="dxa"/>
            </w:tcMar>
          </w:tcPr>
          <w:p w14:paraId="0325BC2B" w14:textId="77777777" w:rsidR="002E33CB" w:rsidRDefault="00000000">
            <w:r>
              <w:rPr>
                <w:color w:val="262626"/>
                <w:sz w:val="20"/>
                <w:szCs w:val="20"/>
              </w:rPr>
              <w:t>—</w:t>
            </w:r>
          </w:p>
        </w:tc>
        <w:tc>
          <w:tcPr>
            <w:tcW w:w="2600" w:type="dxa"/>
            <w:tcMar>
              <w:top w:w="80" w:type="dxa"/>
              <w:left w:w="120" w:type="dxa"/>
              <w:bottom w:w="80" w:type="dxa"/>
              <w:right w:w="120" w:type="dxa"/>
            </w:tcMar>
          </w:tcPr>
          <w:p w14:paraId="59B0628F" w14:textId="77777777" w:rsidR="002E33CB" w:rsidRDefault="00000000">
            <w:r>
              <w:rPr>
                <w:color w:val="262626"/>
                <w:sz w:val="20"/>
                <w:szCs w:val="20"/>
              </w:rPr>
              <w:t>Ratio de ejecución histórico mensual</w:t>
            </w:r>
          </w:p>
        </w:tc>
      </w:tr>
      <w:tr w:rsidR="002E33CB" w14:paraId="25180C02" w14:textId="77777777">
        <w:tc>
          <w:tcPr>
            <w:tcW w:w="2600" w:type="dxa"/>
            <w:tcMar>
              <w:top w:w="80" w:type="dxa"/>
              <w:left w:w="120" w:type="dxa"/>
              <w:bottom w:w="80" w:type="dxa"/>
              <w:right w:w="120" w:type="dxa"/>
            </w:tcMar>
          </w:tcPr>
          <w:p w14:paraId="5227A6B7" w14:textId="77777777" w:rsidR="002E33CB" w:rsidRDefault="00000000">
            <w:r>
              <w:rPr>
                <w:color w:val="262626"/>
                <w:sz w:val="20"/>
                <w:szCs w:val="20"/>
              </w:rPr>
              <w:t>Margen operativo esperado</w:t>
            </w:r>
          </w:p>
        </w:tc>
        <w:tc>
          <w:tcPr>
            <w:tcW w:w="2200" w:type="dxa"/>
            <w:tcMar>
              <w:top w:w="80" w:type="dxa"/>
              <w:left w:w="120" w:type="dxa"/>
              <w:bottom w:w="80" w:type="dxa"/>
              <w:right w:w="120" w:type="dxa"/>
            </w:tcMar>
          </w:tcPr>
          <w:p w14:paraId="5633AA0C" w14:textId="77777777" w:rsidR="002E33CB" w:rsidRDefault="00000000">
            <w:r>
              <w:rPr>
                <w:color w:val="262626"/>
                <w:sz w:val="20"/>
                <w:szCs w:val="20"/>
              </w:rPr>
              <w:t>34,2%</w:t>
            </w:r>
          </w:p>
        </w:tc>
        <w:tc>
          <w:tcPr>
            <w:tcW w:w="1600" w:type="dxa"/>
            <w:tcMar>
              <w:top w:w="80" w:type="dxa"/>
              <w:left w:w="120" w:type="dxa"/>
              <w:bottom w:w="80" w:type="dxa"/>
              <w:right w:w="120" w:type="dxa"/>
            </w:tcMar>
          </w:tcPr>
          <w:p w14:paraId="170F79F6" w14:textId="77777777" w:rsidR="002E33CB" w:rsidRDefault="00000000">
            <w:r>
              <w:rPr>
                <w:color w:val="262626"/>
                <w:sz w:val="20"/>
                <w:szCs w:val="20"/>
              </w:rPr>
              <w:t>+4,9 p.p.</w:t>
            </w:r>
          </w:p>
        </w:tc>
        <w:tc>
          <w:tcPr>
            <w:tcW w:w="2600" w:type="dxa"/>
            <w:tcMar>
              <w:top w:w="80" w:type="dxa"/>
              <w:left w:w="120" w:type="dxa"/>
              <w:bottom w:w="80" w:type="dxa"/>
              <w:right w:w="120" w:type="dxa"/>
            </w:tcMar>
          </w:tcPr>
          <w:p w14:paraId="47C67F8C" w14:textId="77777777" w:rsidR="002E33CB" w:rsidRDefault="00000000">
            <w:r>
              <w:rPr>
                <w:color w:val="262626"/>
                <w:sz w:val="20"/>
                <w:szCs w:val="20"/>
              </w:rPr>
              <w:t>Ingresos − Gasto esperado</w:t>
            </w:r>
          </w:p>
        </w:tc>
      </w:tr>
    </w:tbl>
    <w:p w14:paraId="26915CA7" w14:textId="77777777" w:rsidR="002E33CB" w:rsidRDefault="00000000">
      <w:pPr>
        <w:pStyle w:val="Ttulo1"/>
      </w:pPr>
      <w:r>
        <w:t>9. Modelo y medidas DAX en Power BI</w:t>
      </w:r>
    </w:p>
    <w:p w14:paraId="319C47CA" w14:textId="77777777" w:rsidR="002E33CB" w:rsidRDefault="00000000">
      <w:pPr>
        <w:spacing w:after="160" w:line="276" w:lineRule="auto"/>
      </w:pPr>
      <w:r>
        <w:rPr>
          <w:color w:val="262626"/>
        </w:rPr>
        <w:t>Todas las relaciones dimensión → hecho se configuraron como "uno a varios", con dirección de filtro única (Single) — evitando ambigüedad entre las múltiples tablas de hechos que comparten las mismas dimensiones.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2E33CB" w14:paraId="415E8D5D" w14:textId="77777777">
        <w:trPr>
          <w:tblHeader/>
        </w:trPr>
        <w:tc>
          <w:tcPr>
            <w:tcW w:w="3200" w:type="dxa"/>
            <w:shd w:val="clear" w:color="auto" w:fill="0E2A47"/>
            <w:tcMar>
              <w:top w:w="80" w:type="dxa"/>
              <w:left w:w="120" w:type="dxa"/>
              <w:bottom w:w="80" w:type="dxa"/>
              <w:right w:w="120" w:type="dxa"/>
            </w:tcMar>
          </w:tcPr>
          <w:p w14:paraId="537AD10C" w14:textId="77777777" w:rsidR="002E33CB" w:rsidRDefault="00000000">
            <w:r>
              <w:rPr>
                <w:b/>
                <w:bCs/>
                <w:color w:val="FFFFFF"/>
                <w:sz w:val="20"/>
                <w:szCs w:val="20"/>
              </w:rPr>
              <w:t>Medida</w:t>
            </w:r>
          </w:p>
        </w:tc>
        <w:tc>
          <w:tcPr>
            <w:tcW w:w="5800" w:type="dxa"/>
            <w:shd w:val="clear" w:color="auto" w:fill="0E2A47"/>
            <w:tcMar>
              <w:top w:w="80" w:type="dxa"/>
              <w:left w:w="120" w:type="dxa"/>
              <w:bottom w:w="80" w:type="dxa"/>
              <w:right w:w="120" w:type="dxa"/>
            </w:tcMar>
          </w:tcPr>
          <w:p w14:paraId="29B289D6" w14:textId="77777777" w:rsidR="002E33CB" w:rsidRDefault="00000000">
            <w:r>
              <w:rPr>
                <w:b/>
                <w:bCs/>
                <w:color w:val="FFFFFF"/>
                <w:sz w:val="20"/>
                <w:szCs w:val="20"/>
              </w:rPr>
              <w:t>Propósito</w:t>
            </w:r>
          </w:p>
        </w:tc>
      </w:tr>
      <w:tr w:rsidR="002E33CB" w14:paraId="0FAED737" w14:textId="77777777">
        <w:tc>
          <w:tcPr>
            <w:tcW w:w="3200" w:type="dxa"/>
            <w:tcMar>
              <w:top w:w="80" w:type="dxa"/>
              <w:left w:w="120" w:type="dxa"/>
              <w:bottom w:w="80" w:type="dxa"/>
              <w:right w:w="120" w:type="dxa"/>
            </w:tcMar>
          </w:tcPr>
          <w:p w14:paraId="63621295" w14:textId="77777777" w:rsidR="002E33CB" w:rsidRDefault="00000000">
            <w:r>
              <w:rPr>
                <w:color w:val="262626"/>
                <w:sz w:val="20"/>
                <w:szCs w:val="20"/>
              </w:rPr>
              <w:t>Total Ingresos / Total Gastos / Total Presupuesto</w:t>
            </w:r>
          </w:p>
        </w:tc>
        <w:tc>
          <w:tcPr>
            <w:tcW w:w="5800" w:type="dxa"/>
            <w:tcMar>
              <w:top w:w="80" w:type="dxa"/>
              <w:left w:w="120" w:type="dxa"/>
              <w:bottom w:w="80" w:type="dxa"/>
              <w:right w:w="120" w:type="dxa"/>
            </w:tcMar>
          </w:tcPr>
          <w:p w14:paraId="446FCA40" w14:textId="77777777" w:rsidR="002E33CB" w:rsidRDefault="00000000">
            <w:r>
              <w:rPr>
                <w:color w:val="262626"/>
                <w:sz w:val="20"/>
                <w:szCs w:val="20"/>
              </w:rPr>
              <w:t>Agregados base sobre cada tabla de hechos, con DIVIDE() para evitar división por cero</w:t>
            </w:r>
          </w:p>
        </w:tc>
      </w:tr>
      <w:tr w:rsidR="002E33CB" w14:paraId="7EDB8E33" w14:textId="77777777">
        <w:tc>
          <w:tcPr>
            <w:tcW w:w="3200" w:type="dxa"/>
            <w:tcMar>
              <w:top w:w="80" w:type="dxa"/>
              <w:left w:w="120" w:type="dxa"/>
              <w:bottom w:w="80" w:type="dxa"/>
              <w:right w:w="120" w:type="dxa"/>
            </w:tcMar>
          </w:tcPr>
          <w:p w14:paraId="418303EA" w14:textId="77777777" w:rsidR="002E33CB" w:rsidRDefault="00000000">
            <w:r>
              <w:rPr>
                <w:color w:val="262626"/>
                <w:sz w:val="20"/>
                <w:szCs w:val="20"/>
              </w:rPr>
              <w:t>% Ejecucion / Margen Operativo %</w:t>
            </w:r>
          </w:p>
        </w:tc>
        <w:tc>
          <w:tcPr>
            <w:tcW w:w="5800" w:type="dxa"/>
            <w:tcMar>
              <w:top w:w="80" w:type="dxa"/>
              <w:left w:w="120" w:type="dxa"/>
              <w:bottom w:w="80" w:type="dxa"/>
              <w:right w:w="120" w:type="dxa"/>
            </w:tcMar>
          </w:tcPr>
          <w:p w14:paraId="5A3A04EB" w14:textId="77777777" w:rsidR="002E33CB" w:rsidRDefault="00000000">
            <w:r>
              <w:rPr>
                <w:color w:val="262626"/>
                <w:sz w:val="20"/>
                <w:szCs w:val="20"/>
              </w:rPr>
              <w:t>Ratios sobre los agregados base</w:t>
            </w:r>
          </w:p>
        </w:tc>
      </w:tr>
      <w:tr w:rsidR="002E33CB" w14:paraId="2FD65DBB" w14:textId="77777777">
        <w:tc>
          <w:tcPr>
            <w:tcW w:w="3200" w:type="dxa"/>
            <w:tcMar>
              <w:top w:w="80" w:type="dxa"/>
              <w:left w:w="120" w:type="dxa"/>
              <w:bottom w:w="80" w:type="dxa"/>
              <w:right w:w="120" w:type="dxa"/>
            </w:tcMar>
          </w:tcPr>
          <w:p w14:paraId="47EB2AC5" w14:textId="77777777" w:rsidR="002E33CB" w:rsidRDefault="00000000">
            <w:r>
              <w:rPr>
                <w:color w:val="262626"/>
                <w:sz w:val="20"/>
                <w:szCs w:val="20"/>
              </w:rPr>
              <w:t>% Participacion Linea</w:t>
            </w:r>
          </w:p>
        </w:tc>
        <w:tc>
          <w:tcPr>
            <w:tcW w:w="5800" w:type="dxa"/>
            <w:tcMar>
              <w:top w:w="80" w:type="dxa"/>
              <w:left w:w="120" w:type="dxa"/>
              <w:bottom w:w="80" w:type="dxa"/>
              <w:right w:w="120" w:type="dxa"/>
            </w:tcMar>
          </w:tcPr>
          <w:p w14:paraId="23D4A54E" w14:textId="77777777" w:rsidR="002E33CB" w:rsidRDefault="00000000">
            <w:r>
              <w:rPr>
                <w:color w:val="262626"/>
                <w:sz w:val="20"/>
                <w:szCs w:val="20"/>
              </w:rPr>
              <w:t>Usa ALLSELECTED(ingresos[concepto]) — no ALL() — para respetar los segmentadores externos (mes, año) mientras ignora solo el filtro de la propia columna</w:t>
            </w:r>
          </w:p>
        </w:tc>
      </w:tr>
      <w:tr w:rsidR="002E33CB" w14:paraId="6788ABCA" w14:textId="77777777">
        <w:tc>
          <w:tcPr>
            <w:tcW w:w="3200" w:type="dxa"/>
            <w:tcMar>
              <w:top w:w="80" w:type="dxa"/>
              <w:left w:w="120" w:type="dxa"/>
              <w:bottom w:w="80" w:type="dxa"/>
              <w:right w:w="120" w:type="dxa"/>
            </w:tcMar>
          </w:tcPr>
          <w:p w14:paraId="4DD691D8" w14:textId="77777777" w:rsidR="002E33CB" w:rsidRDefault="00000000">
            <w:r>
              <w:rPr>
                <w:color w:val="262626"/>
                <w:sz w:val="20"/>
                <w:szCs w:val="20"/>
              </w:rPr>
              <w:t>Alertas Sobreejecucion</w:t>
            </w:r>
          </w:p>
        </w:tc>
        <w:tc>
          <w:tcPr>
            <w:tcW w:w="5800" w:type="dxa"/>
            <w:tcMar>
              <w:top w:w="80" w:type="dxa"/>
              <w:left w:w="120" w:type="dxa"/>
              <w:bottom w:w="80" w:type="dxa"/>
              <w:right w:w="120" w:type="dxa"/>
            </w:tcMar>
          </w:tcPr>
          <w:p w14:paraId="3BA5ED2D" w14:textId="77777777" w:rsidR="002E33CB" w:rsidRDefault="00000000">
            <w:r>
              <w:rPr>
                <w:color w:val="262626"/>
                <w:sz w:val="20"/>
                <w:szCs w:val="20"/>
              </w:rPr>
              <w:t>SUMMARIZE + ADDCOLUMNS para construir una tabla virtual departamento×categoría×mes y contar cuántas combinaciones superan el 10% de desviación, respetando los filtros activos</w:t>
            </w:r>
          </w:p>
        </w:tc>
      </w:tr>
      <w:tr w:rsidR="002E33CB" w14:paraId="035FA2F2" w14:textId="77777777">
        <w:tc>
          <w:tcPr>
            <w:tcW w:w="3200" w:type="dxa"/>
            <w:tcMar>
              <w:top w:w="80" w:type="dxa"/>
              <w:left w:w="120" w:type="dxa"/>
              <w:bottom w:w="80" w:type="dxa"/>
              <w:right w:w="120" w:type="dxa"/>
            </w:tcMar>
          </w:tcPr>
          <w:p w14:paraId="0133596D" w14:textId="77777777" w:rsidR="002E33CB" w:rsidRDefault="00000000">
            <w:r>
              <w:rPr>
                <w:color w:val="262626"/>
                <w:sz w:val="20"/>
                <w:szCs w:val="20"/>
              </w:rPr>
              <w:t>Desviacion por Categoria</w:t>
            </w:r>
          </w:p>
        </w:tc>
        <w:tc>
          <w:tcPr>
            <w:tcW w:w="5800" w:type="dxa"/>
            <w:tcMar>
              <w:top w:w="80" w:type="dxa"/>
              <w:left w:w="120" w:type="dxa"/>
              <w:bottom w:w="80" w:type="dxa"/>
              <w:right w:w="120" w:type="dxa"/>
            </w:tcMar>
          </w:tcPr>
          <w:p w14:paraId="29FA536F" w14:textId="77777777" w:rsidR="002E33CB" w:rsidRDefault="00000000">
            <w:r>
              <w:rPr>
                <w:color w:val="262626"/>
                <w:sz w:val="20"/>
                <w:szCs w:val="20"/>
              </w:rPr>
              <w:t>Alimenta el gráfico de cascada (waterfall) de la pestaña Gastos</w:t>
            </w:r>
          </w:p>
        </w:tc>
      </w:tr>
      <w:tr w:rsidR="002E33CB" w14:paraId="2775C908" w14:textId="77777777">
        <w:tc>
          <w:tcPr>
            <w:tcW w:w="3200" w:type="dxa"/>
            <w:tcMar>
              <w:top w:w="80" w:type="dxa"/>
              <w:left w:w="120" w:type="dxa"/>
              <w:bottom w:w="80" w:type="dxa"/>
              <w:right w:w="120" w:type="dxa"/>
            </w:tcMar>
          </w:tcPr>
          <w:p w14:paraId="06FABFD3" w14:textId="77777777" w:rsidR="002E33CB" w:rsidRDefault="00000000">
            <w:r>
              <w:rPr>
                <w:color w:val="262626"/>
                <w:sz w:val="20"/>
                <w:szCs w:val="20"/>
              </w:rPr>
              <w:t>Ingresos Forecast 2026 / Presupuesto 2026 / Gasto Esperado 2026</w:t>
            </w:r>
          </w:p>
        </w:tc>
        <w:tc>
          <w:tcPr>
            <w:tcW w:w="5800" w:type="dxa"/>
            <w:tcMar>
              <w:top w:w="80" w:type="dxa"/>
              <w:left w:w="120" w:type="dxa"/>
              <w:bottom w:w="80" w:type="dxa"/>
              <w:right w:w="120" w:type="dxa"/>
            </w:tcMar>
          </w:tcPr>
          <w:p w14:paraId="5C9DA953" w14:textId="77777777" w:rsidR="002E33CB" w:rsidRDefault="00000000">
            <w:r>
              <w:rPr>
                <w:color w:val="262626"/>
                <w:sz w:val="20"/>
                <w:szCs w:val="20"/>
              </w:rPr>
              <w:t>Agregados sobre las tablas de forecast, filtradas por año 2026</w:t>
            </w:r>
          </w:p>
        </w:tc>
      </w:tr>
    </w:tbl>
    <w:p w14:paraId="6CADFB0A" w14:textId="77777777" w:rsidR="002E33CB" w:rsidRDefault="00000000">
      <w:pPr>
        <w:pStyle w:val="Ttulo1"/>
      </w:pPr>
      <w:r>
        <w:t>10. Estructura del reporte Power BI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E33CB" w14:paraId="208DBEC4" w14:textId="77777777">
        <w:trPr>
          <w:tblHeader/>
        </w:trPr>
        <w:tc>
          <w:tcPr>
            <w:tcW w:w="2200" w:type="dxa"/>
            <w:shd w:val="clear" w:color="auto" w:fill="0E2A47"/>
            <w:tcMar>
              <w:top w:w="80" w:type="dxa"/>
              <w:left w:w="120" w:type="dxa"/>
              <w:bottom w:w="80" w:type="dxa"/>
              <w:right w:w="120" w:type="dxa"/>
            </w:tcMar>
          </w:tcPr>
          <w:p w14:paraId="6984A53E" w14:textId="77777777" w:rsidR="002E33CB" w:rsidRDefault="00000000">
            <w:r>
              <w:rPr>
                <w:b/>
                <w:bCs/>
                <w:color w:val="FFFFFF"/>
                <w:sz w:val="20"/>
                <w:szCs w:val="20"/>
              </w:rPr>
              <w:t>Página</w:t>
            </w:r>
          </w:p>
        </w:tc>
        <w:tc>
          <w:tcPr>
            <w:tcW w:w="6800" w:type="dxa"/>
            <w:shd w:val="clear" w:color="auto" w:fill="0E2A47"/>
            <w:tcMar>
              <w:top w:w="80" w:type="dxa"/>
              <w:left w:w="120" w:type="dxa"/>
              <w:bottom w:w="80" w:type="dxa"/>
              <w:right w:w="120" w:type="dxa"/>
            </w:tcMar>
          </w:tcPr>
          <w:p w14:paraId="20C42A0B" w14:textId="77777777" w:rsidR="002E33CB" w:rsidRDefault="00000000">
            <w:r>
              <w:rPr>
                <w:b/>
                <w:bCs/>
                <w:color w:val="FFFFFF"/>
                <w:sz w:val="20"/>
                <w:szCs w:val="20"/>
              </w:rPr>
              <w:t>Contenido</w:t>
            </w:r>
          </w:p>
        </w:tc>
      </w:tr>
      <w:tr w:rsidR="002E33CB" w14:paraId="7C8A5C77" w14:textId="77777777">
        <w:tc>
          <w:tcPr>
            <w:tcW w:w="2200" w:type="dxa"/>
            <w:tcMar>
              <w:top w:w="80" w:type="dxa"/>
              <w:left w:w="120" w:type="dxa"/>
              <w:bottom w:w="80" w:type="dxa"/>
              <w:right w:w="120" w:type="dxa"/>
            </w:tcMar>
          </w:tcPr>
          <w:p w14:paraId="78DC25B7" w14:textId="77777777" w:rsidR="002E33CB" w:rsidRDefault="00000000">
            <w:r>
              <w:rPr>
                <w:color w:val="262626"/>
                <w:sz w:val="20"/>
                <w:szCs w:val="20"/>
              </w:rPr>
              <w:t>Resumen General</w:t>
            </w:r>
          </w:p>
        </w:tc>
        <w:tc>
          <w:tcPr>
            <w:tcW w:w="6800" w:type="dxa"/>
            <w:tcMar>
              <w:top w:w="80" w:type="dxa"/>
              <w:left w:w="120" w:type="dxa"/>
              <w:bottom w:w="80" w:type="dxa"/>
              <w:right w:w="120" w:type="dxa"/>
            </w:tcMar>
          </w:tcPr>
          <w:p w14:paraId="309FC662" w14:textId="77777777" w:rsidR="002E33CB" w:rsidRDefault="00000000">
            <w:r>
              <w:rPr>
                <w:color w:val="262626"/>
                <w:sz w:val="20"/>
                <w:szCs w:val="20"/>
              </w:rPr>
              <w:t>KPIs consolidados, tendencia ingresos vs. presupuesto, comparativo presupuesto vs. gasto por departamento, distribución de ingresos por línea</w:t>
            </w:r>
          </w:p>
        </w:tc>
      </w:tr>
      <w:tr w:rsidR="002E33CB" w14:paraId="0D09CF8E" w14:textId="77777777">
        <w:tc>
          <w:tcPr>
            <w:tcW w:w="2200" w:type="dxa"/>
            <w:tcMar>
              <w:top w:w="80" w:type="dxa"/>
              <w:left w:w="120" w:type="dxa"/>
              <w:bottom w:w="80" w:type="dxa"/>
              <w:right w:w="120" w:type="dxa"/>
            </w:tcMar>
          </w:tcPr>
          <w:p w14:paraId="630A2A47" w14:textId="77777777" w:rsidR="002E33CB" w:rsidRDefault="00000000">
            <w:r>
              <w:rPr>
                <w:color w:val="262626"/>
                <w:sz w:val="20"/>
                <w:szCs w:val="20"/>
              </w:rPr>
              <w:t>Ingresos</w:t>
            </w:r>
          </w:p>
        </w:tc>
        <w:tc>
          <w:tcPr>
            <w:tcW w:w="6800" w:type="dxa"/>
            <w:tcMar>
              <w:top w:w="80" w:type="dxa"/>
              <w:left w:w="120" w:type="dxa"/>
              <w:bottom w:w="80" w:type="dxa"/>
              <w:right w:w="120" w:type="dxa"/>
            </w:tcMar>
          </w:tcPr>
          <w:p w14:paraId="1804D91C" w14:textId="77777777" w:rsidR="002E33CB" w:rsidRDefault="00000000">
            <w:r>
              <w:rPr>
                <w:color w:val="262626"/>
                <w:sz w:val="20"/>
                <w:szCs w:val="20"/>
              </w:rPr>
              <w:t>Evolución mensual por línea de negocio, % de participación (ALLSELECTED), crecimiento ene-dic</w:t>
            </w:r>
          </w:p>
        </w:tc>
      </w:tr>
      <w:tr w:rsidR="002E33CB" w14:paraId="682CF969" w14:textId="77777777">
        <w:tc>
          <w:tcPr>
            <w:tcW w:w="2200" w:type="dxa"/>
            <w:tcMar>
              <w:top w:w="80" w:type="dxa"/>
              <w:left w:w="120" w:type="dxa"/>
              <w:bottom w:w="80" w:type="dxa"/>
              <w:right w:w="120" w:type="dxa"/>
            </w:tcMar>
          </w:tcPr>
          <w:p w14:paraId="4C6C3FE5" w14:textId="77777777" w:rsidR="002E33CB" w:rsidRDefault="00000000">
            <w:r>
              <w:rPr>
                <w:color w:val="262626"/>
                <w:sz w:val="20"/>
                <w:szCs w:val="20"/>
              </w:rPr>
              <w:lastRenderedPageBreak/>
              <w:t>Gastos</w:t>
            </w:r>
          </w:p>
        </w:tc>
        <w:tc>
          <w:tcPr>
            <w:tcW w:w="6800" w:type="dxa"/>
            <w:tcMar>
              <w:top w:w="80" w:type="dxa"/>
              <w:left w:w="120" w:type="dxa"/>
              <w:bottom w:w="80" w:type="dxa"/>
              <w:right w:w="120" w:type="dxa"/>
            </w:tcMar>
          </w:tcPr>
          <w:p w14:paraId="6FDC0EB4" w14:textId="77777777" w:rsidR="002E33CB" w:rsidRDefault="00000000">
            <w:r>
              <w:rPr>
                <w:color w:val="262626"/>
                <w:sz w:val="20"/>
                <w:szCs w:val="20"/>
              </w:rPr>
              <w:t>Cascada presupuesto → ejecutado por categoría, tabla con formato condicional, medidor de % ejecución</w:t>
            </w:r>
          </w:p>
        </w:tc>
      </w:tr>
      <w:tr w:rsidR="002E33CB" w14:paraId="2B8EF771" w14:textId="77777777">
        <w:tc>
          <w:tcPr>
            <w:tcW w:w="2200" w:type="dxa"/>
            <w:tcMar>
              <w:top w:w="80" w:type="dxa"/>
              <w:left w:w="120" w:type="dxa"/>
              <w:bottom w:w="80" w:type="dxa"/>
              <w:right w:w="120" w:type="dxa"/>
            </w:tcMar>
          </w:tcPr>
          <w:p w14:paraId="20693240" w14:textId="77777777" w:rsidR="002E33CB" w:rsidRDefault="00000000">
            <w:r>
              <w:rPr>
                <w:color w:val="262626"/>
                <w:sz w:val="20"/>
                <w:szCs w:val="20"/>
              </w:rPr>
              <w:t>Presupuesto</w:t>
            </w:r>
          </w:p>
        </w:tc>
        <w:tc>
          <w:tcPr>
            <w:tcW w:w="6800" w:type="dxa"/>
            <w:tcMar>
              <w:top w:w="80" w:type="dxa"/>
              <w:left w:w="120" w:type="dxa"/>
              <w:bottom w:w="80" w:type="dxa"/>
              <w:right w:w="120" w:type="dxa"/>
            </w:tcMar>
          </w:tcPr>
          <w:p w14:paraId="7EB97373" w14:textId="77777777" w:rsidR="002E33CB" w:rsidRDefault="00000000">
            <w:r>
              <w:rPr>
                <w:color w:val="262626"/>
                <w:sz w:val="20"/>
                <w:szCs w:val="20"/>
              </w:rPr>
              <w:t>Distribución por departamento, matriz departamento × mes</w:t>
            </w:r>
          </w:p>
        </w:tc>
      </w:tr>
      <w:tr w:rsidR="002E33CB" w14:paraId="158B8D2C" w14:textId="77777777">
        <w:tc>
          <w:tcPr>
            <w:tcW w:w="2200" w:type="dxa"/>
            <w:tcMar>
              <w:top w:w="80" w:type="dxa"/>
              <w:left w:w="120" w:type="dxa"/>
              <w:bottom w:w="80" w:type="dxa"/>
              <w:right w:w="120" w:type="dxa"/>
            </w:tcMar>
          </w:tcPr>
          <w:p w14:paraId="26B77CD9" w14:textId="77777777" w:rsidR="002E33CB" w:rsidRDefault="00000000">
            <w:r>
              <w:rPr>
                <w:color w:val="262626"/>
                <w:sz w:val="20"/>
                <w:szCs w:val="20"/>
              </w:rPr>
              <w:t>Forecast 2026</w:t>
            </w:r>
          </w:p>
        </w:tc>
        <w:tc>
          <w:tcPr>
            <w:tcW w:w="6800" w:type="dxa"/>
            <w:tcMar>
              <w:top w:w="80" w:type="dxa"/>
              <w:left w:w="120" w:type="dxa"/>
              <w:bottom w:w="80" w:type="dxa"/>
              <w:right w:w="120" w:type="dxa"/>
            </w:tcMar>
          </w:tcPr>
          <w:p w14:paraId="683D5FA8" w14:textId="77777777" w:rsidR="002E33CB" w:rsidRDefault="00000000">
            <w:r>
              <w:rPr>
                <w:color w:val="262626"/>
                <w:sz w:val="20"/>
                <w:szCs w:val="20"/>
              </w:rPr>
              <w:t>Proyección de ingresos con banda de confianza, presupuesto y gasto esperado 2026</w:t>
            </w:r>
          </w:p>
        </w:tc>
      </w:tr>
      <w:tr w:rsidR="002E33CB" w14:paraId="6D87EDE0" w14:textId="77777777">
        <w:tc>
          <w:tcPr>
            <w:tcW w:w="2200" w:type="dxa"/>
            <w:tcMar>
              <w:top w:w="80" w:type="dxa"/>
              <w:left w:w="120" w:type="dxa"/>
              <w:bottom w:w="80" w:type="dxa"/>
              <w:right w:w="120" w:type="dxa"/>
            </w:tcMar>
          </w:tcPr>
          <w:p w14:paraId="25B37BFF" w14:textId="77777777" w:rsidR="002E33CB" w:rsidRDefault="00000000">
            <w:r>
              <w:rPr>
                <w:color w:val="262626"/>
                <w:sz w:val="20"/>
                <w:szCs w:val="20"/>
              </w:rPr>
              <w:t>Detalle</w:t>
            </w:r>
          </w:p>
        </w:tc>
        <w:tc>
          <w:tcPr>
            <w:tcW w:w="6800" w:type="dxa"/>
            <w:tcMar>
              <w:top w:w="80" w:type="dxa"/>
              <w:left w:w="120" w:type="dxa"/>
              <w:bottom w:w="80" w:type="dxa"/>
              <w:right w:w="120" w:type="dxa"/>
            </w:tcMar>
          </w:tcPr>
          <w:p w14:paraId="71A8A326" w14:textId="77777777" w:rsidR="002E33CB" w:rsidRDefault="00000000">
            <w:r>
              <w:rPr>
                <w:color w:val="262626"/>
                <w:sz w:val="20"/>
                <w:szCs w:val="20"/>
              </w:rPr>
              <w:t>Tabla granular con drill-through desde las demás páginas</w:t>
            </w:r>
          </w:p>
        </w:tc>
      </w:tr>
    </w:tbl>
    <w:p w14:paraId="12BD9AFF" w14:textId="77777777" w:rsidR="002E33CB" w:rsidRDefault="00000000">
      <w:pPr>
        <w:spacing w:after="160" w:line="276" w:lineRule="auto"/>
      </w:pPr>
      <w:r>
        <w:rPr>
          <w:color w:val="262626"/>
        </w:rPr>
        <w:t>La navegación entre páginas usa un fondo personalizado (barra superior con las 6 pestañas) y botones transparentes con acción "Page navigation", ocultando la navegación nativa de Power BI para lograr una experiencia integrada tipo aplicación.</w:t>
      </w:r>
    </w:p>
    <w:p w14:paraId="0EEFDC6A" w14:textId="77777777" w:rsidR="002E33CB" w:rsidRDefault="00000000">
      <w:pPr>
        <w:pStyle w:val="Ttulo1"/>
      </w:pPr>
      <w:r>
        <w:t>11. Incidencias resueltas durante el desarrollo</w:t>
      </w:r>
    </w:p>
    <w:p w14:paraId="22E795B1" w14:textId="77777777" w:rsidR="002E33CB" w:rsidRDefault="00000000">
      <w:pPr>
        <w:spacing w:after="160" w:line="276" w:lineRule="auto"/>
      </w:pPr>
      <w:r>
        <w:rPr>
          <w:color w:val="262626"/>
        </w:rPr>
        <w:t>Documentar los problemas reales encontrados —y cómo se diagnosticaron— es tan valioso como el resultado final: demuestra criterio técnico, no solo ejecución.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3158"/>
        <w:gridCol w:w="3266"/>
      </w:tblGrid>
      <w:tr w:rsidR="002E33CB" w14:paraId="715F137A" w14:textId="77777777">
        <w:trPr>
          <w:tblHeader/>
        </w:trPr>
        <w:tc>
          <w:tcPr>
            <w:tcW w:w="2600" w:type="dxa"/>
            <w:shd w:val="clear" w:color="auto" w:fill="0E2A47"/>
            <w:tcMar>
              <w:top w:w="80" w:type="dxa"/>
              <w:left w:w="120" w:type="dxa"/>
              <w:bottom w:w="80" w:type="dxa"/>
              <w:right w:w="120" w:type="dxa"/>
            </w:tcMar>
          </w:tcPr>
          <w:p w14:paraId="29667035" w14:textId="77777777" w:rsidR="002E33CB" w:rsidRDefault="00000000">
            <w:r>
              <w:rPr>
                <w:b/>
                <w:bCs/>
                <w:color w:val="FFFFFF"/>
                <w:sz w:val="20"/>
                <w:szCs w:val="20"/>
              </w:rPr>
              <w:t>Problema</w:t>
            </w:r>
          </w:p>
        </w:tc>
        <w:tc>
          <w:tcPr>
            <w:tcW w:w="3200" w:type="dxa"/>
            <w:shd w:val="clear" w:color="auto" w:fill="0E2A47"/>
            <w:tcMar>
              <w:top w:w="80" w:type="dxa"/>
              <w:left w:w="120" w:type="dxa"/>
              <w:bottom w:w="80" w:type="dxa"/>
              <w:right w:w="120" w:type="dxa"/>
            </w:tcMar>
          </w:tcPr>
          <w:p w14:paraId="59EB70FA" w14:textId="77777777" w:rsidR="002E33CB" w:rsidRDefault="00000000">
            <w:r>
              <w:rPr>
                <w:b/>
                <w:bCs/>
                <w:color w:val="FFFFFF"/>
                <w:sz w:val="20"/>
                <w:szCs w:val="20"/>
              </w:rPr>
              <w:t>Causa raíz</w:t>
            </w:r>
          </w:p>
        </w:tc>
        <w:tc>
          <w:tcPr>
            <w:tcW w:w="3200" w:type="dxa"/>
            <w:shd w:val="clear" w:color="auto" w:fill="0E2A47"/>
            <w:tcMar>
              <w:top w:w="80" w:type="dxa"/>
              <w:left w:w="120" w:type="dxa"/>
              <w:bottom w:w="80" w:type="dxa"/>
              <w:right w:w="120" w:type="dxa"/>
            </w:tcMar>
          </w:tcPr>
          <w:p w14:paraId="385A0ADA" w14:textId="77777777" w:rsidR="002E33CB" w:rsidRDefault="00000000">
            <w:r>
              <w:rPr>
                <w:b/>
                <w:bCs/>
                <w:color w:val="FFFFFF"/>
                <w:sz w:val="20"/>
                <w:szCs w:val="20"/>
              </w:rPr>
              <w:t>Solución</w:t>
            </w:r>
          </w:p>
        </w:tc>
      </w:tr>
      <w:tr w:rsidR="002E33CB" w14:paraId="61A2A2A0" w14:textId="77777777">
        <w:tc>
          <w:tcPr>
            <w:tcW w:w="2600" w:type="dxa"/>
            <w:tcMar>
              <w:top w:w="80" w:type="dxa"/>
              <w:left w:w="120" w:type="dxa"/>
              <w:bottom w:w="80" w:type="dxa"/>
              <w:right w:w="120" w:type="dxa"/>
            </w:tcMar>
          </w:tcPr>
          <w:p w14:paraId="677B17B1" w14:textId="77777777" w:rsidR="002E33CB" w:rsidRDefault="00000000">
            <w:r>
              <w:rPr>
                <w:color w:val="262626"/>
                <w:sz w:val="20"/>
                <w:szCs w:val="20"/>
              </w:rPr>
              <w:t>Totales inflados ~100x en las tarjetas (Ingresos, Gastos, Presupuesto)</w:t>
            </w:r>
          </w:p>
        </w:tc>
        <w:tc>
          <w:tcPr>
            <w:tcW w:w="3200" w:type="dxa"/>
            <w:tcMar>
              <w:top w:w="80" w:type="dxa"/>
              <w:left w:w="120" w:type="dxa"/>
              <w:bottom w:w="80" w:type="dxa"/>
              <w:right w:w="120" w:type="dxa"/>
            </w:tcMar>
          </w:tcPr>
          <w:p w14:paraId="7848E28D" w14:textId="77777777" w:rsidR="002E33CB" w:rsidRDefault="00000000">
            <w:r>
              <w:rPr>
                <w:color w:val="262626"/>
                <w:sz w:val="20"/>
                <w:szCs w:val="20"/>
              </w:rPr>
              <w:t>Power Query interpretó el punto decimal de los CSV (formato EE.UU.) como separador de miles (formato español), multiplicando cada valor por ~100</w:t>
            </w:r>
          </w:p>
        </w:tc>
        <w:tc>
          <w:tcPr>
            <w:tcW w:w="3200" w:type="dxa"/>
            <w:tcMar>
              <w:top w:w="80" w:type="dxa"/>
              <w:left w:w="120" w:type="dxa"/>
              <w:bottom w:w="80" w:type="dxa"/>
              <w:right w:w="120" w:type="dxa"/>
            </w:tcMar>
          </w:tcPr>
          <w:p w14:paraId="1F2821BA" w14:textId="77777777" w:rsidR="002E33CB" w:rsidRDefault="00000000">
            <w:r>
              <w:rPr>
                <w:color w:val="262626"/>
                <w:sz w:val="20"/>
                <w:szCs w:val="20"/>
              </w:rPr>
              <w:t>Eliminar el paso de conversión de tipo automático y reemplazarlo por "Cambiar tipo → Usando configuración regional → Inglés (Estados Unidos)" en cada columna de monto</w:t>
            </w:r>
          </w:p>
        </w:tc>
      </w:tr>
      <w:tr w:rsidR="002E33CB" w14:paraId="51516001" w14:textId="77777777">
        <w:tc>
          <w:tcPr>
            <w:tcW w:w="2600" w:type="dxa"/>
            <w:tcMar>
              <w:top w:w="80" w:type="dxa"/>
              <w:left w:w="120" w:type="dxa"/>
              <w:bottom w:w="80" w:type="dxa"/>
              <w:right w:w="120" w:type="dxa"/>
            </w:tcMar>
          </w:tcPr>
          <w:p w14:paraId="3745CDF6" w14:textId="77777777" w:rsidR="002E33CB" w:rsidRDefault="00000000">
            <w:r>
              <w:rPr>
                <w:color w:val="262626"/>
                <w:sz w:val="20"/>
                <w:szCs w:val="20"/>
              </w:rPr>
              <w:t>% Participación no respondía a los segmentadores</w:t>
            </w:r>
          </w:p>
        </w:tc>
        <w:tc>
          <w:tcPr>
            <w:tcW w:w="3200" w:type="dxa"/>
            <w:tcMar>
              <w:top w:w="80" w:type="dxa"/>
              <w:left w:w="120" w:type="dxa"/>
              <w:bottom w:w="80" w:type="dxa"/>
              <w:right w:w="120" w:type="dxa"/>
            </w:tcMar>
          </w:tcPr>
          <w:p w14:paraId="0BFB172F" w14:textId="77777777" w:rsidR="002E33CB" w:rsidRDefault="00000000">
            <w:r>
              <w:rPr>
                <w:color w:val="262626"/>
                <w:sz w:val="20"/>
                <w:szCs w:val="20"/>
              </w:rPr>
              <w:t>La medida usaba ALL(ingresos) en el denominador, ignorando también el filtro de mes/año, no solo el de línea de negocio</w:t>
            </w:r>
          </w:p>
        </w:tc>
        <w:tc>
          <w:tcPr>
            <w:tcW w:w="3200" w:type="dxa"/>
            <w:tcMar>
              <w:top w:w="80" w:type="dxa"/>
              <w:left w:w="120" w:type="dxa"/>
              <w:bottom w:w="80" w:type="dxa"/>
              <w:right w:w="120" w:type="dxa"/>
            </w:tcMar>
          </w:tcPr>
          <w:p w14:paraId="3AB51E1F" w14:textId="77777777" w:rsidR="002E33CB" w:rsidRDefault="00000000">
            <w:r>
              <w:rPr>
                <w:color w:val="262626"/>
                <w:sz w:val="20"/>
                <w:szCs w:val="20"/>
              </w:rPr>
              <w:t>Cambio a ALLSELECTED(ingresos[concepto]) — quita el filtro de la columna evaluada pero respeta los segmentadores externos</w:t>
            </w:r>
          </w:p>
        </w:tc>
      </w:tr>
      <w:tr w:rsidR="002E33CB" w14:paraId="20FC19D6" w14:textId="77777777">
        <w:tc>
          <w:tcPr>
            <w:tcW w:w="2600" w:type="dxa"/>
            <w:tcMar>
              <w:top w:w="80" w:type="dxa"/>
              <w:left w:w="120" w:type="dxa"/>
              <w:bottom w:w="80" w:type="dxa"/>
              <w:right w:w="120" w:type="dxa"/>
            </w:tcMar>
          </w:tcPr>
          <w:p w14:paraId="39DCF0E9" w14:textId="77777777" w:rsidR="002E33CB" w:rsidRDefault="00000000">
            <w:r>
              <w:rPr>
                <w:color w:val="262626"/>
                <w:sz w:val="20"/>
                <w:szCs w:val="20"/>
              </w:rPr>
              <w:t>Error de sintaxis DAX ("la sintaxis de Alertas no es correcta")</w:t>
            </w:r>
          </w:p>
        </w:tc>
        <w:tc>
          <w:tcPr>
            <w:tcW w:w="3200" w:type="dxa"/>
            <w:tcMar>
              <w:top w:w="80" w:type="dxa"/>
              <w:left w:w="120" w:type="dxa"/>
              <w:bottom w:w="80" w:type="dxa"/>
              <w:right w:w="120" w:type="dxa"/>
            </w:tcMar>
          </w:tcPr>
          <w:p w14:paraId="6C12FFB8" w14:textId="77777777" w:rsidR="002E33CB" w:rsidRDefault="00000000">
            <w:r>
              <w:rPr>
                <w:color w:val="262626"/>
                <w:sz w:val="20"/>
                <w:szCs w:val="20"/>
              </w:rPr>
              <w:t>Dos medidas distintas pegadas en una sola caja de fórmula</w:t>
            </w:r>
          </w:p>
        </w:tc>
        <w:tc>
          <w:tcPr>
            <w:tcW w:w="3200" w:type="dxa"/>
            <w:tcMar>
              <w:top w:w="80" w:type="dxa"/>
              <w:left w:w="120" w:type="dxa"/>
              <w:bottom w:w="80" w:type="dxa"/>
              <w:right w:w="120" w:type="dxa"/>
            </w:tcMar>
          </w:tcPr>
          <w:p w14:paraId="2FE93752" w14:textId="77777777" w:rsidR="002E33CB" w:rsidRDefault="00000000">
            <w:r>
              <w:rPr>
                <w:color w:val="262626"/>
                <w:sz w:val="20"/>
                <w:szCs w:val="20"/>
              </w:rPr>
              <w:t>Separación en dos medidas independientes, cada una en su propia caja</w:t>
            </w:r>
          </w:p>
        </w:tc>
      </w:tr>
      <w:tr w:rsidR="002E33CB" w14:paraId="12E65688" w14:textId="77777777">
        <w:tc>
          <w:tcPr>
            <w:tcW w:w="2600" w:type="dxa"/>
            <w:tcMar>
              <w:top w:w="80" w:type="dxa"/>
              <w:left w:w="120" w:type="dxa"/>
              <w:bottom w:w="80" w:type="dxa"/>
              <w:right w:w="120" w:type="dxa"/>
            </w:tcMar>
          </w:tcPr>
          <w:p w14:paraId="0277E071" w14:textId="77777777" w:rsidR="002E33CB" w:rsidRDefault="00000000">
            <w:r>
              <w:rPr>
                <w:color w:val="262626"/>
                <w:sz w:val="20"/>
                <w:szCs w:val="20"/>
              </w:rPr>
              <w:t>Gráfico de cascada mal interpretado a primera vista</w:t>
            </w:r>
          </w:p>
        </w:tc>
        <w:tc>
          <w:tcPr>
            <w:tcW w:w="3200" w:type="dxa"/>
            <w:tcMar>
              <w:top w:w="80" w:type="dxa"/>
              <w:left w:w="120" w:type="dxa"/>
              <w:bottom w:w="80" w:type="dxa"/>
              <w:right w:w="120" w:type="dxa"/>
            </w:tcMar>
          </w:tcPr>
          <w:p w14:paraId="4BE9FD48" w14:textId="77777777" w:rsidR="002E33CB" w:rsidRDefault="00000000">
            <w:r>
              <w:rPr>
                <w:color w:val="262626"/>
                <w:sz w:val="20"/>
                <w:szCs w:val="20"/>
              </w:rPr>
              <w:t>Confusión entre el valor incremental de cada barra y su posición acumulada en el eje Y</w:t>
            </w:r>
          </w:p>
        </w:tc>
        <w:tc>
          <w:tcPr>
            <w:tcW w:w="3200" w:type="dxa"/>
            <w:tcMar>
              <w:top w:w="80" w:type="dxa"/>
              <w:left w:w="120" w:type="dxa"/>
              <w:bottom w:w="80" w:type="dxa"/>
              <w:right w:w="120" w:type="dxa"/>
            </w:tcMar>
          </w:tcPr>
          <w:p w14:paraId="6AA68FC5" w14:textId="77777777" w:rsidR="002E33CB" w:rsidRDefault="00000000">
            <w:r>
              <w:rPr>
                <w:color w:val="262626"/>
                <w:sz w:val="20"/>
                <w:szCs w:val="20"/>
              </w:rPr>
              <w:t>Aclaración conceptual + nota explicativa añadida al visual para el día de la presentación</w:t>
            </w:r>
          </w:p>
        </w:tc>
      </w:tr>
    </w:tbl>
    <w:p w14:paraId="0930518B" w14:textId="77777777" w:rsidR="005B3E4E" w:rsidRDefault="005B3E4E">
      <w:pPr>
        <w:pStyle w:val="Ttulo1"/>
      </w:pPr>
    </w:p>
    <w:p w14:paraId="4263236A" w14:textId="77777777" w:rsidR="005B3E4E" w:rsidRDefault="005B3E4E">
      <w:pPr>
        <w:pStyle w:val="Ttulo1"/>
      </w:pPr>
    </w:p>
    <w:p w14:paraId="123FFF8E" w14:textId="77777777" w:rsidR="00FA1258" w:rsidRDefault="00FA1258">
      <w:pPr>
        <w:pStyle w:val="Ttulo1"/>
      </w:pPr>
    </w:p>
    <w:p w14:paraId="5905BCA2" w14:textId="77777777" w:rsidR="00FA1258" w:rsidRDefault="00FA1258">
      <w:pPr>
        <w:pStyle w:val="Ttulo1"/>
      </w:pPr>
    </w:p>
    <w:p w14:paraId="680CB9A5" w14:textId="63BB656A" w:rsidR="002E33CB" w:rsidRDefault="00000000" w:rsidP="005B3E4E">
      <w:pPr>
        <w:pStyle w:val="Ttulo1"/>
        <w:jc w:val="both"/>
      </w:pPr>
      <w:r>
        <w:t>1</w:t>
      </w:r>
      <w:r w:rsidR="00FA1258">
        <w:t>2</w:t>
      </w:r>
      <w:r>
        <w:t>. Conclusiones y aprendizajes</w:t>
      </w:r>
    </w:p>
    <w:p w14:paraId="4B3AF0A4" w14:textId="77777777" w:rsidR="002E33CB" w:rsidRDefault="00000000" w:rsidP="005B3E4E">
      <w:pPr>
        <w:spacing w:after="160" w:line="276" w:lineRule="auto"/>
        <w:ind w:firstLine="708"/>
        <w:jc w:val="both"/>
      </w:pPr>
      <w:r>
        <w:rPr>
          <w:color w:val="262626"/>
        </w:rPr>
        <w:t>El proyecto integra el ciclo completo de un producto de datos: modelado relacional en SQL, limpieza y lógica de negocio en Python con trazabilidad de cada corrección, una proyección estadística honesta (con su margen de error, no una falsa certeza), y un dashboard interactivo en Power BI construido sobre un modelo en estrella correctamente relacionado.</w:t>
      </w:r>
    </w:p>
    <w:p w14:paraId="2F2EAD87" w14:textId="77777777" w:rsidR="002E33CB" w:rsidRDefault="00000000" w:rsidP="005B3E4E">
      <w:pPr>
        <w:spacing w:after="160" w:line="276" w:lineRule="auto"/>
        <w:jc w:val="both"/>
        <w:rPr>
          <w:color w:val="262626"/>
        </w:rPr>
      </w:pPr>
      <w:r>
        <w:rPr>
          <w:color w:val="262626"/>
        </w:rPr>
        <w:t>Más allá del resultado técnico, el proceso de depuración de errores reales —el problema de configuración regional, el uso correcto de ALLSELECTED frente a ALL, la separación de medidas— refleja el tipo de criterio que se espera de un perfil de análisis de datos: no solo saber construir, sino saber diagnosticar cuándo algo no cuadra y por qué.</w:t>
      </w:r>
    </w:p>
    <w:p w14:paraId="334110A1" w14:textId="77777777" w:rsidR="005B3E4E" w:rsidRDefault="005B3E4E" w:rsidP="005B3E4E">
      <w:pPr>
        <w:spacing w:after="160" w:line="276" w:lineRule="auto"/>
        <w:jc w:val="both"/>
        <w:rPr>
          <w:color w:val="262626"/>
        </w:rPr>
      </w:pPr>
    </w:p>
    <w:p w14:paraId="27A42D97" w14:textId="3CF76C0E" w:rsidR="005B3E4E" w:rsidRDefault="005B3E4E" w:rsidP="005B3E4E">
      <w:pPr>
        <w:pStyle w:val="Ttulo2"/>
        <w:jc w:val="both"/>
      </w:pPr>
      <w:r>
        <w:t>1</w:t>
      </w:r>
      <w:r w:rsidR="00FA1258">
        <w:t>2</w:t>
      </w:r>
      <w:r>
        <w:t>.1 Recomendaciones de gestión</w:t>
      </w:r>
    </w:p>
    <w:p w14:paraId="6075D232" w14:textId="77777777" w:rsidR="005B3E4E" w:rsidRDefault="005B3E4E" w:rsidP="005B3E4E">
      <w:pPr>
        <w:ind w:firstLine="708"/>
        <w:jc w:val="both"/>
      </w:pPr>
      <w:r>
        <w:t>A partir de los resultados obtenidos, se proponen tres líneas de actuación. Estas recomendaciones se mantienen dentro del alcance del análisis y se basan en la evidencia disponible en el dataset y en el forecast 2026.</w:t>
      </w:r>
    </w:p>
    <w:p w14:paraId="230DA7ED" w14:textId="77777777" w:rsidR="005B3E4E" w:rsidRDefault="005B3E4E" w:rsidP="005B3E4E">
      <w:pPr>
        <w:ind w:firstLine="708"/>
        <w:jc w:val="both"/>
      </w:pPr>
      <w:r>
        <w:t>1. Reforzar la inversión en Servicios de Valor Añadido/Cloud. Esta línea de negocio presentó el mayor crecimiento observado en 2025 (+37,8%), claramente por encima de Servicios B2B Corporativos (+18,3%) y Servicios Residenciales (+9,4%). Por tanto, la prioridad debe ser reforzar la inversión en esta línea, evitando dispersar recursos en líneas no evaluadas hasta contar con evidencia suficiente que justifique una ampliación.</w:t>
      </w:r>
    </w:p>
    <w:p w14:paraId="5DEFE7D1" w14:textId="77777777" w:rsidR="005B3E4E" w:rsidRDefault="005B3E4E" w:rsidP="005B3E4E">
      <w:pPr>
        <w:ind w:firstLine="708"/>
        <w:jc w:val="both"/>
      </w:pPr>
      <w:r>
        <w:t>2. Formalizar el control mensual de ejecución presupuestaria en Marketing y Tecnología y TI. El análisis detectó 15 alertas de sobre ejecución superior al 10% sobre 240 combinaciones, concentradas en estos dos departamentos. Se recomienda institucionalizar una revisión mensual mediante el mismo dashboard de Power BI ya construido, utilizando el indicador de desviación y el flag de alerta como mecanismo de seguimiento y toma de decisiones.</w:t>
      </w:r>
    </w:p>
    <w:p w14:paraId="579D2A05" w14:textId="77777777" w:rsidR="005B3E4E" w:rsidRDefault="005B3E4E" w:rsidP="005B3E4E">
      <w:pPr>
        <w:ind w:firstLine="708"/>
        <w:jc w:val="both"/>
      </w:pPr>
      <w:r>
        <w:t>3. Reinvertir el margen operativo proyectado en las líneas de mayor tracción. El margen operativo pasa del 29,3% en 2025 al 34,2% esperado en 2026, una mejora de 4,9 puntos porcentuales. Esta mejora genera margen de maniobra real para reforzar las áreas con mejor desempeño antes de asumir compromisos de expansión no evaluados. La exploración de nuevos mercados puede plantearse como una siguiente fase, una vez que exista información adicional que permita evaluarla con el mismo rigor analítico.</w:t>
      </w:r>
    </w:p>
    <w:p w14:paraId="4361EDA3" w14:textId="77777777" w:rsidR="005B3E4E" w:rsidRDefault="005B3E4E" w:rsidP="005B3E4E">
      <w:pPr>
        <w:ind w:firstLine="708"/>
        <w:jc w:val="both"/>
      </w:pPr>
      <w:r>
        <w:t>En conjunto, estas recomendaciones conectan el análisis descriptivo, el control presupuestario y el forecast con decisiones concretas: invertir donde existe evidencia de crecimiento, controlar de forma sistemática las desviaciones y utilizar la mejora de rentabilidad como capacidad de financiación para el crecimiento.</w:t>
      </w:r>
    </w:p>
    <w:p w14:paraId="7F20C7F6" w14:textId="77777777" w:rsidR="005B3E4E" w:rsidRDefault="005B3E4E">
      <w:pPr>
        <w:spacing w:after="160" w:line="276" w:lineRule="auto"/>
        <w:rPr>
          <w:color w:val="262626"/>
        </w:rPr>
      </w:pPr>
    </w:p>
    <w:p w14:paraId="2BE8A5EC" w14:textId="77777777" w:rsidR="005B3E4E" w:rsidRDefault="005B3E4E">
      <w:pPr>
        <w:spacing w:after="160" w:line="276" w:lineRule="auto"/>
        <w:rPr>
          <w:color w:val="262626"/>
        </w:rPr>
      </w:pPr>
    </w:p>
    <w:p w14:paraId="771825EE" w14:textId="77777777" w:rsidR="005B3E4E" w:rsidRDefault="005B3E4E">
      <w:pPr>
        <w:spacing w:after="160" w:line="276" w:lineRule="auto"/>
      </w:pPr>
    </w:p>
    <w:p w14:paraId="249620B9" w14:textId="77777777" w:rsidR="005B3E4E" w:rsidRDefault="005B3E4E">
      <w:pPr>
        <w:spacing w:after="160" w:line="276" w:lineRule="auto"/>
      </w:pPr>
    </w:p>
    <w:p w14:paraId="6C6DF86D" w14:textId="77777777" w:rsidR="005B3E4E" w:rsidRDefault="005B3E4E">
      <w:pPr>
        <w:spacing w:after="160" w:line="276" w:lineRule="auto"/>
      </w:pPr>
    </w:p>
    <w:p w14:paraId="2A769C7F" w14:textId="77777777" w:rsidR="005B3E4E" w:rsidRDefault="005B3E4E">
      <w:pPr>
        <w:spacing w:after="160" w:line="276" w:lineRule="auto"/>
      </w:pPr>
    </w:p>
    <w:p w14:paraId="7B153D09" w14:textId="77777777" w:rsidR="005B3E4E" w:rsidRDefault="005B3E4E">
      <w:pPr>
        <w:spacing w:after="160" w:line="276" w:lineRule="auto"/>
      </w:pPr>
    </w:p>
    <w:p w14:paraId="2CC3E7BD" w14:textId="77777777" w:rsidR="002E33CB" w:rsidRDefault="00000000">
      <w:pPr>
        <w:pStyle w:val="Ttulo1"/>
      </w:pPr>
      <w:r>
        <w:t>Anexo — Estructura del repositorio</w:t>
      </w:r>
    </w:p>
    <w:p w14:paraId="729E1360" w14:textId="77777777" w:rsidR="002E33CB" w:rsidRDefault="00000000">
      <w:r>
        <w:rPr>
          <w:rFonts w:ascii="Consolas" w:eastAsia="Consolas" w:hAnsi="Consolas" w:cs="Consolas"/>
          <w:color w:val="262626"/>
          <w:sz w:val="18"/>
          <w:szCs w:val="18"/>
        </w:rPr>
        <w:t>control-presupuestario-kpis/</w:t>
      </w:r>
    </w:p>
    <w:p w14:paraId="355A4249" w14:textId="77777777" w:rsidR="002E33CB" w:rsidRPr="005C2063" w:rsidRDefault="00000000">
      <w:pPr>
        <w:rPr>
          <w:lang w:val="en-US"/>
        </w:rPr>
      </w:pPr>
      <w:r w:rsidRPr="005C2063">
        <w:rPr>
          <w:rFonts w:ascii="Consolas" w:eastAsia="Consolas" w:hAnsi="Consolas" w:cs="Consolas"/>
          <w:color w:val="262626"/>
          <w:sz w:val="18"/>
          <w:szCs w:val="18"/>
          <w:lang w:val="en-US"/>
        </w:rPr>
        <w:t>├── README.md</w:t>
      </w:r>
    </w:p>
    <w:p w14:paraId="62ADC076" w14:textId="77777777" w:rsidR="002E33CB" w:rsidRPr="005C2063" w:rsidRDefault="00000000">
      <w:pPr>
        <w:rPr>
          <w:lang w:val="en-US"/>
        </w:rPr>
      </w:pPr>
      <w:r w:rsidRPr="005C2063">
        <w:rPr>
          <w:rFonts w:ascii="Consolas" w:eastAsia="Consolas" w:hAnsi="Consolas" w:cs="Consolas"/>
          <w:color w:val="262626"/>
          <w:sz w:val="18"/>
          <w:szCs w:val="18"/>
          <w:lang w:val="en-US"/>
        </w:rPr>
        <w:t>├── requirements.txt</w:t>
      </w:r>
    </w:p>
    <w:p w14:paraId="3EBD55D2" w14:textId="77777777" w:rsidR="002E33CB" w:rsidRPr="005C2063" w:rsidRDefault="00000000">
      <w:pPr>
        <w:rPr>
          <w:lang w:val="en-US"/>
        </w:rPr>
      </w:pPr>
      <w:r w:rsidRPr="005C2063">
        <w:rPr>
          <w:rFonts w:ascii="Consolas" w:eastAsia="Consolas" w:hAnsi="Consolas" w:cs="Consolas"/>
          <w:color w:val="262626"/>
          <w:sz w:val="18"/>
          <w:szCs w:val="18"/>
          <w:lang w:val="en-US"/>
        </w:rPr>
        <w:t>├── .gitignore</w:t>
      </w:r>
    </w:p>
    <w:p w14:paraId="009222CC" w14:textId="77777777" w:rsidR="002E33CB" w:rsidRPr="005C2063" w:rsidRDefault="00000000">
      <w:pPr>
        <w:rPr>
          <w:lang w:val="en-US"/>
        </w:rPr>
      </w:pPr>
      <w:r w:rsidRPr="005C2063">
        <w:rPr>
          <w:rFonts w:ascii="Consolas" w:eastAsia="Consolas" w:hAnsi="Consolas" w:cs="Consolas"/>
          <w:color w:val="262626"/>
          <w:sz w:val="18"/>
          <w:szCs w:val="18"/>
          <w:lang w:val="en-US"/>
        </w:rPr>
        <w:t>├── data/</w:t>
      </w:r>
    </w:p>
    <w:p w14:paraId="014DA6DB" w14:textId="77777777" w:rsidR="002E33CB" w:rsidRDefault="00000000">
      <w:r>
        <w:rPr>
          <w:rFonts w:ascii="Consolas" w:eastAsia="Consolas" w:hAnsi="Consolas" w:cs="Consolas"/>
          <w:color w:val="262626"/>
          <w:sz w:val="18"/>
          <w:szCs w:val="18"/>
        </w:rPr>
        <w:t>│   ├── raw/          (datos crudos: presupuesto, ejecución sucia, tipo de cambio)</w:t>
      </w:r>
    </w:p>
    <w:p w14:paraId="1B06E2A0" w14:textId="77777777" w:rsidR="002E33CB" w:rsidRDefault="00000000">
      <w:r>
        <w:rPr>
          <w:rFonts w:ascii="Consolas" w:eastAsia="Consolas" w:hAnsi="Consolas" w:cs="Consolas"/>
          <w:color w:val="262626"/>
          <w:sz w:val="18"/>
          <w:szCs w:val="18"/>
        </w:rPr>
        <w:t>│   ├── processed/    (datos limpios y KPIs, exportados a Excel/JSON/CSV)</w:t>
      </w:r>
    </w:p>
    <w:p w14:paraId="7230C28A" w14:textId="77777777" w:rsidR="002E33CB" w:rsidRDefault="00000000">
      <w:r>
        <w:rPr>
          <w:rFonts w:ascii="Consolas" w:eastAsia="Consolas" w:hAnsi="Consolas" w:cs="Consolas"/>
          <w:color w:val="262626"/>
          <w:sz w:val="18"/>
          <w:szCs w:val="18"/>
        </w:rPr>
        <w:t>│   └── sql/          (base SQLite y dump .sql versionable)</w:t>
      </w:r>
    </w:p>
    <w:p w14:paraId="53A41258" w14:textId="77777777" w:rsidR="002E33CB" w:rsidRDefault="00000000">
      <w:r>
        <w:rPr>
          <w:rFonts w:ascii="Consolas" w:eastAsia="Consolas" w:hAnsi="Consolas" w:cs="Consolas"/>
          <w:color w:val="262626"/>
          <w:sz w:val="18"/>
          <w:szCs w:val="18"/>
        </w:rPr>
        <w:t>├── notebooks/</w:t>
      </w:r>
    </w:p>
    <w:p w14:paraId="586092E8" w14:textId="77777777" w:rsidR="002E33CB" w:rsidRDefault="00000000">
      <w:r>
        <w:rPr>
          <w:rFonts w:ascii="Consolas" w:eastAsia="Consolas" w:hAnsi="Consolas" w:cs="Consolas"/>
          <w:color w:val="262626"/>
          <w:sz w:val="18"/>
          <w:szCs w:val="18"/>
        </w:rPr>
        <w:t>│   └── 01_analisis_presupuesto.ipynb  (limpieza, KPIs, forecast — ejecutado)</w:t>
      </w:r>
    </w:p>
    <w:p w14:paraId="0BF0BF6D" w14:textId="77777777" w:rsidR="002E33CB" w:rsidRDefault="00000000">
      <w:r>
        <w:rPr>
          <w:rFonts w:ascii="Consolas" w:eastAsia="Consolas" w:hAnsi="Consolas" w:cs="Consolas"/>
          <w:color w:val="262626"/>
          <w:sz w:val="18"/>
          <w:szCs w:val="18"/>
        </w:rPr>
        <w:t>├── src/</w:t>
      </w:r>
    </w:p>
    <w:p w14:paraId="2DEC76B7" w14:textId="77777777" w:rsidR="002E33CB" w:rsidRDefault="00000000">
      <w:r>
        <w:rPr>
          <w:rFonts w:ascii="Consolas" w:eastAsia="Consolas" w:hAnsi="Consolas" w:cs="Consolas"/>
          <w:color w:val="262626"/>
          <w:sz w:val="18"/>
          <w:szCs w:val="18"/>
        </w:rPr>
        <w:t>│   ├── generar_datos.py</w:t>
      </w:r>
    </w:p>
    <w:p w14:paraId="63931435" w14:textId="77777777" w:rsidR="002E33CB" w:rsidRDefault="00000000">
      <w:r>
        <w:rPr>
          <w:rFonts w:ascii="Consolas" w:eastAsia="Consolas" w:hAnsi="Consolas" w:cs="Consolas"/>
          <w:color w:val="262626"/>
          <w:sz w:val="18"/>
          <w:szCs w:val="18"/>
        </w:rPr>
        <w:t>│   ├── obtener_tipo_cambio.py</w:t>
      </w:r>
    </w:p>
    <w:p w14:paraId="1C7B2B45" w14:textId="77777777" w:rsidR="002E33CB" w:rsidRDefault="00000000">
      <w:r>
        <w:rPr>
          <w:rFonts w:ascii="Consolas" w:eastAsia="Consolas" w:hAnsi="Consolas" w:cs="Consolas"/>
          <w:color w:val="262626"/>
          <w:sz w:val="18"/>
          <w:szCs w:val="18"/>
        </w:rPr>
        <w:t>│   └── exportar_formatos.py</w:t>
      </w:r>
    </w:p>
    <w:p w14:paraId="3C37ACC4" w14:textId="77777777" w:rsidR="002E33CB" w:rsidRDefault="00000000">
      <w:r>
        <w:rPr>
          <w:rFonts w:ascii="Consolas" w:eastAsia="Consolas" w:hAnsi="Consolas" w:cs="Consolas"/>
          <w:color w:val="262626"/>
          <w:sz w:val="18"/>
          <w:szCs w:val="18"/>
        </w:rPr>
        <w:t>└── powerbi/</w:t>
      </w:r>
    </w:p>
    <w:sectPr w:rsidR="002E33C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55219"/>
    <w:multiLevelType w:val="hybridMultilevel"/>
    <w:tmpl w:val="8EB414AC"/>
    <w:lvl w:ilvl="0" w:tplc="545E0FF2">
      <w:start w:val="1"/>
      <w:numFmt w:val="bullet"/>
      <w:lvlText w:val="●"/>
      <w:lvlJc w:val="left"/>
      <w:pPr>
        <w:ind w:left="720" w:hanging="360"/>
      </w:pPr>
    </w:lvl>
    <w:lvl w:ilvl="1" w:tplc="2378202A">
      <w:start w:val="1"/>
      <w:numFmt w:val="bullet"/>
      <w:lvlText w:val="○"/>
      <w:lvlJc w:val="left"/>
      <w:pPr>
        <w:ind w:left="1440" w:hanging="360"/>
      </w:pPr>
    </w:lvl>
    <w:lvl w:ilvl="2" w:tplc="555893E8">
      <w:start w:val="1"/>
      <w:numFmt w:val="bullet"/>
      <w:lvlText w:val="■"/>
      <w:lvlJc w:val="left"/>
      <w:pPr>
        <w:ind w:left="2160" w:hanging="360"/>
      </w:pPr>
    </w:lvl>
    <w:lvl w:ilvl="3" w:tplc="C9D44ADC">
      <w:start w:val="1"/>
      <w:numFmt w:val="bullet"/>
      <w:lvlText w:val="●"/>
      <w:lvlJc w:val="left"/>
      <w:pPr>
        <w:ind w:left="2880" w:hanging="360"/>
      </w:pPr>
    </w:lvl>
    <w:lvl w:ilvl="4" w:tplc="646AA58C">
      <w:start w:val="1"/>
      <w:numFmt w:val="bullet"/>
      <w:lvlText w:val="○"/>
      <w:lvlJc w:val="left"/>
      <w:pPr>
        <w:ind w:left="3600" w:hanging="360"/>
      </w:pPr>
    </w:lvl>
    <w:lvl w:ilvl="5" w:tplc="6584CED4">
      <w:start w:val="1"/>
      <w:numFmt w:val="bullet"/>
      <w:lvlText w:val="■"/>
      <w:lvlJc w:val="left"/>
      <w:pPr>
        <w:ind w:left="4320" w:hanging="360"/>
      </w:pPr>
    </w:lvl>
    <w:lvl w:ilvl="6" w:tplc="54CCA4A2">
      <w:start w:val="1"/>
      <w:numFmt w:val="bullet"/>
      <w:lvlText w:val="●"/>
      <w:lvlJc w:val="left"/>
      <w:pPr>
        <w:ind w:left="5040" w:hanging="360"/>
      </w:pPr>
    </w:lvl>
    <w:lvl w:ilvl="7" w:tplc="6EC01D08">
      <w:start w:val="1"/>
      <w:numFmt w:val="bullet"/>
      <w:lvlText w:val="●"/>
      <w:lvlJc w:val="left"/>
      <w:pPr>
        <w:ind w:left="5760" w:hanging="360"/>
      </w:pPr>
    </w:lvl>
    <w:lvl w:ilvl="8" w:tplc="0C3A48B0">
      <w:start w:val="1"/>
      <w:numFmt w:val="bullet"/>
      <w:lvlText w:val="●"/>
      <w:lvlJc w:val="left"/>
      <w:pPr>
        <w:ind w:left="6480" w:hanging="360"/>
      </w:pPr>
    </w:lvl>
  </w:abstractNum>
  <w:num w:numId="1" w16cid:durableId="914584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CB"/>
    <w:rsid w:val="0001097A"/>
    <w:rsid w:val="00251DCF"/>
    <w:rsid w:val="002E0A08"/>
    <w:rsid w:val="002E33CB"/>
    <w:rsid w:val="003C5CAF"/>
    <w:rsid w:val="005B29EF"/>
    <w:rsid w:val="005B3E4E"/>
    <w:rsid w:val="005C2063"/>
    <w:rsid w:val="005E3BDB"/>
    <w:rsid w:val="00D15D86"/>
    <w:rsid w:val="00E813F3"/>
    <w:rsid w:val="00E877EE"/>
    <w:rsid w:val="00EE6C7D"/>
    <w:rsid w:val="00FA1258"/>
    <w:rsid w:val="00FE5F0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D31F"/>
  <w15:docId w15:val="{D1285F8A-4E1C-4B0F-8BB7-FED47B9F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Ttulo1">
    <w:name w:val="heading 1"/>
    <w:uiPriority w:val="9"/>
    <w:qFormat/>
    <w:pPr>
      <w:pBdr>
        <w:bottom w:val="single" w:sz="6" w:space="4" w:color="17B8AE"/>
      </w:pBdr>
      <w:spacing w:before="360" w:after="160"/>
      <w:outlineLvl w:val="0"/>
    </w:pPr>
    <w:rPr>
      <w:rFonts w:ascii="Aptos Display" w:hAnsi="Aptos Display"/>
      <w:b/>
      <w:bCs/>
      <w:color w:val="0E2A47"/>
      <w:sz w:val="30"/>
      <w:szCs w:val="30"/>
    </w:rPr>
  </w:style>
  <w:style w:type="paragraph" w:styleId="Ttulo2">
    <w:name w:val="heading 2"/>
    <w:uiPriority w:val="9"/>
    <w:unhideWhenUsed/>
    <w:qFormat/>
    <w:pPr>
      <w:spacing w:before="280" w:after="120"/>
      <w:outlineLvl w:val="1"/>
    </w:pPr>
    <w:rPr>
      <w:rFonts w:ascii="Aptos Display" w:hAnsi="Aptos Display"/>
      <w:b/>
      <w:bCs/>
      <w:color w:val="0E2A47"/>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11</Pages>
  <Words>3272</Words>
  <Characters>17999</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World Telecom — Sistema de Control Presupuestario y KPIs Financieros</dc:title>
  <dc:subject>Proyecto final — Data Analyst con IA Aplicada</dc:subject>
  <dc:creator>Maikol Ferman</dc:creator>
  <dc:description>Versión adaptada para entrega académica, con recomendaciones de gestión basadas en los resultados del análisis.</dc:description>
  <cp:lastModifiedBy>maikol ferman</cp:lastModifiedBy>
  <cp:revision>9</cp:revision>
  <dcterms:created xsi:type="dcterms:W3CDTF">2026-08-15T11:51:00Z</dcterms:created>
  <dcterms:modified xsi:type="dcterms:W3CDTF">2026-08-25T14:09:00Z</dcterms:modified>
</cp:coreProperties>
</file>