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libri" w:cs="Calibri" w:eastAsia="Calibri" w:hAnsi="Calibri"/>
          <w:b/>
          <w:bCs/>
          <w:color w:val="1A3560"/>
          <w:sz w:val="56"/>
          <w:szCs w:val="56"/>
        </w:rPr>
        <w:t xml:space="preserve">Francys Lanza García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2A5DA8"/>
          <w:sz w:val="26"/>
          <w:szCs w:val="26"/>
        </w:rPr>
        <w:t xml:space="preserve">Lead Data Scientist / Machine Learning Engineer</w:t>
      </w:r>
    </w:p>
    <w:p>
      <w:pPr>
        <w:pBdr>
          <w:bottom w:val="single" w:color="1A3560" w:sz="14" w:space="4"/>
        </w:pBdr>
        <w:spacing w:after="140" w:before="0"/>
      </w:pPr>
    </w:p>
    <w:tbl>
      <w:tblPr>
        <w:tblW w:type="dxa" w:w="10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500"/>
        <w:gridCol w:w="7206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2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✉  mariafrancysucv@gmail.com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📍 Mexico</w:t>
            </w:r>
          </w:p>
          <w:p>
            <w:pPr>
              <w:spacing w:after="60" w:before="0"/>
            </w:pPr>
            <w:hyperlink w:history="1" r:id="rIdqjoe6quxy_nk4ltjgk5tm">
              <w:r>
                <w:rPr>
                  <w:rStyle w:val="Hyperlink"/>
                  <w:rFonts w:ascii="Calibri" w:cs="Calibri" w:eastAsia="Calibri" w:hAnsi="Calibri"/>
                  <w:sz w:val="18"/>
                  <w:szCs w:val="18"/>
                </w:rPr>
                <w:t xml:space="preserve">🔗 LinkedIn Profile</w:t>
              </w:r>
            </w:hyperlink>
          </w:p>
          <w:p>
            <w:pPr>
              <w:pBdr>
                <w:bottom w:val="single" w:color="2A5DA8" w:sz="10" w:space="2"/>
              </w:pBdr>
              <w:spacing w:after="0" w:before="160"/>
            </w:pPr>
            <w:r>
              <w:rPr>
                <w:rFonts w:ascii="Calibri" w:cs="Calibri" w:eastAsia="Calibri" w:hAnsi="Calibri"/>
                <w:b/>
                <w:bCs/>
                <w:color w:val="1A3560"/>
                <w:sz w:val="21"/>
                <w:szCs w:val="21"/>
              </w:rPr>
              <w:t xml:space="preserve">Availability</w:t>
            </w:r>
          </w:p>
          <w:p>
            <w:pPr>
              <w:spacing w:after="0" w:before="60"/>
            </w:pP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Remote | Open to hourly and project-based work — Fractional ML and MLOps consultant for Databricks delivery, risk systems, feature stores, and production machine learning.</w:t>
            </w:r>
          </w:p>
          <w:p>
            <w:pPr>
              <w:pBdr>
                <w:bottom w:val="single" w:color="2A5DA8" w:sz="10" w:space="2"/>
              </w:pBdr>
              <w:spacing w:after="0" w:before="160"/>
            </w:pPr>
            <w:r>
              <w:rPr>
                <w:rFonts w:ascii="Calibri" w:cs="Calibri" w:eastAsia="Calibri" w:hAnsi="Calibri"/>
                <w:b/>
                <w:bCs/>
                <w:color w:val="1A3560"/>
                <w:sz w:val="21"/>
                <w:szCs w:val="21"/>
              </w:rPr>
              <w:t xml:space="preserve">Consulting Focus</w:t>
            </w:r>
          </w:p>
          <w:p>
            <w:pPr>
              <w:spacing w:after="0" w:before="6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Production ML systems on Databricks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MLflow and model lifecycle setup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Feature store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Credit risk and fraud modeling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Model monitoring and drift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Automated retraining pipelines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Fractional ML leadership for teams scaling from notebooks to production</w:t>
            </w:r>
          </w:p>
          <w:p>
            <w:pPr>
              <w:pBdr>
                <w:bottom w:val="single" w:color="2A5DA8" w:sz="10" w:space="2"/>
              </w:pBdr>
              <w:spacing w:after="0" w:before="160"/>
            </w:pPr>
            <w:r>
              <w:rPr>
                <w:rFonts w:ascii="Calibri" w:cs="Calibri" w:eastAsia="Calibri" w:hAnsi="Calibri"/>
                <w:b/>
                <w:bCs/>
                <w:color w:val="1A3560"/>
                <w:sz w:val="21"/>
                <w:szCs w:val="21"/>
              </w:rPr>
              <w:t xml:space="preserve">Core Skills</w:t>
            </w:r>
          </w:p>
          <w:p>
            <w:pPr>
              <w:spacing w:after="0" w:before="60"/>
            </w:pP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Databricks • MLflow • Delta Lake • PySpark • Python • SQL • XGBoost • LightGBM • TensorFlow • PyTorch • Feature Store Architecture • Real-Time Inference APIs • MLOps • CI/CD for ML • Model Monitoring • Drift Detection • Automated Retraining • AWS • SageMaker • Risk Modeling • Fraud Detection • Underwriting • Experiment Design • Model Governance</w:t>
            </w:r>
          </w:p>
          <w:p>
            <w:pPr>
              <w:pBdr>
                <w:bottom w:val="single" w:color="2A5DA8" w:sz="10" w:space="2"/>
              </w:pBdr>
              <w:spacing w:after="0" w:before="160"/>
            </w:pPr>
            <w:r>
              <w:rPr>
                <w:rFonts w:ascii="Calibri" w:cs="Calibri" w:eastAsia="Calibri" w:hAnsi="Calibri"/>
                <w:b/>
                <w:bCs/>
                <w:color w:val="1A3560"/>
                <w:sz w:val="21"/>
                <w:szCs w:val="21"/>
              </w:rPr>
              <w:t xml:space="preserve">Languages</w:t>
            </w:r>
          </w:p>
          <w:p>
            <w:pPr>
              <w:spacing w:after="0" w:before="60"/>
            </w:pP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English (Business Professional)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Spanish (Native)</w:t>
            </w:r>
          </w:p>
          <w:p>
            <w:pPr>
              <w:pBdr>
                <w:bottom w:val="single" w:color="2A5DA8" w:sz="10" w:space="2"/>
              </w:pBdr>
              <w:spacing w:after="0" w:before="160"/>
            </w:pPr>
            <w:r>
              <w:rPr>
                <w:rFonts w:ascii="Calibri" w:cs="Calibri" w:eastAsia="Calibri" w:hAnsi="Calibri"/>
                <w:b/>
                <w:bCs/>
                <w:color w:val="1A3560"/>
                <w:sz w:val="21"/>
                <w:szCs w:val="21"/>
              </w:rPr>
              <w:t xml:space="preserve">Education</w:t>
            </w:r>
          </w:p>
          <w:p>
            <w:pPr>
              <w:spacing w:after="0" w:before="60"/>
            </w:pP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color w:val="1A3560"/>
                <w:sz w:val="19"/>
                <w:szCs w:val="19"/>
              </w:rPr>
              <w:t xml:space="preserve">MSc in Artificial Intelligence (ECTS-accredited)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Udacity Institute of AI &amp; Technology, Woolf University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7"/>
                <w:szCs w:val="17"/>
              </w:rPr>
              <w:t xml:space="preserve">01/2026 – Present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Advanced specialization in scalable AI systems, deep learning, real-time inference, and production-grade ML deployment.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color w:val="1A3560"/>
                <w:sz w:val="19"/>
                <w:szCs w:val="19"/>
              </w:rPr>
              <w:t xml:space="preserve">Nanodegree: Agentic AI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Udacity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7"/>
                <w:szCs w:val="17"/>
              </w:rPr>
              <w:t xml:space="preserve">2025 – Present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Multi-agent systems, LLM orchestration, reasoning, planning, and building autonomous AI workflows.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color w:val="1A3560"/>
                <w:sz w:val="19"/>
                <w:szCs w:val="19"/>
              </w:rPr>
              <w:t xml:space="preserve">Diplomado en Data Mining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Diplomados Online Avalado por la UCV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7"/>
                <w:szCs w:val="17"/>
              </w:rPr>
              <w:t xml:space="preserve">2017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color w:val="1A3560"/>
                <w:sz w:val="19"/>
                <w:szCs w:val="19"/>
              </w:rPr>
              <w:t xml:space="preserve">Economista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Universidad Central de Venezuela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7"/>
                <w:szCs w:val="17"/>
              </w:rPr>
              <w:t xml:space="preserve">2011 – 2016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color w:val="1A3560"/>
                <w:sz w:val="19"/>
                <w:szCs w:val="19"/>
              </w:rPr>
              <w:t xml:space="preserve">Diplomado en Finanzas Corporativas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Universidad José Antonio Páez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7"/>
                <w:szCs w:val="17"/>
              </w:rPr>
              <w:t xml:space="preserve">2014</w:t>
            </w:r>
          </w:p>
        </w:tc>
        <w:tc>
          <w:tcPr>
            <w:tcW w:type="dxa" w:w="7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60"/>
              <w:bottom w:type="dxa" w:w="100"/>
              <w:right w:type="dxa" w:w="100"/>
            </w:tcMar>
            <w:vAlign w:val="top"/>
          </w:tcPr>
          <w:p>
            <w:pPr>
              <w:pBdr>
                <w:bottom w:val="single" w:color="2A5DA8" w:sz="10" w:space="2"/>
              </w:pBdr>
              <w:spacing w:after="0" w:before="160"/>
            </w:pPr>
            <w:r>
              <w:rPr>
                <w:rFonts w:ascii="Calibri" w:cs="Calibri" w:eastAsia="Calibri" w:hAnsi="Calibri"/>
                <w:b/>
                <w:bCs/>
                <w:color w:val="1A3560"/>
                <w:sz w:val="22"/>
                <w:szCs w:val="22"/>
              </w:rPr>
              <w:t xml:space="preserve">About Me</w:t>
            </w:r>
          </w:p>
          <w:p>
            <w:pPr>
              <w:spacing w:after="0" w:before="70"/>
            </w:pP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3560"/>
                <w:sz w:val="20"/>
                <w:szCs w:val="20"/>
              </w:rPr>
              <w:t xml:space="preserve">AI adoption enthusiast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 • </w:t>
            </w:r>
            <w:r>
              <w:rPr>
                <w:rFonts w:ascii="Calibri" w:cs="Calibri" w:eastAsia="Calibri" w:hAnsi="Calibri"/>
                <w:b/>
                <w:bCs/>
                <w:color w:val="1A3560"/>
                <w:sz w:val="20"/>
                <w:szCs w:val="20"/>
              </w:rPr>
              <w:t xml:space="preserve">Passionate Mentor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 • </w:t>
            </w:r>
            <w:r>
              <w:rPr>
                <w:rFonts w:ascii="Calibri" w:cs="Calibri" w:eastAsia="Calibri" w:hAnsi="Calibri"/>
                <w:b/>
                <w:bCs/>
                <w:color w:val="1A3560"/>
                <w:sz w:val="20"/>
                <w:szCs w:val="20"/>
              </w:rPr>
              <w:t xml:space="preserve">Technology Lover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 • </w:t>
            </w:r>
            <w:r>
              <w:rPr>
                <w:rFonts w:ascii="Calibri" w:cs="Calibri" w:eastAsia="Calibri" w:hAnsi="Calibri"/>
                <w:b/>
                <w:bCs/>
                <w:color w:val="1A3560"/>
                <w:sz w:val="20"/>
                <w:szCs w:val="20"/>
              </w:rPr>
              <w:t xml:space="preserve">Speaker &amp; Advisor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Beyond my technical work, I enjoy sharing my experience and knowledge as a speaker and advisor. I am passionate about helping teams and individuals embrace AI in practical, meaningful ways. I aim to continue using my skills and experience to drive business strategy and create sustainable competitive advantages in today’s fast-moving technology landscape. If you have any questions I can help with, please feel free to reach out on LinkedIn — I look forward to speaking with you!</w:t>
            </w:r>
          </w:p>
          <w:p>
            <w:pPr>
              <w:pBdr>
                <w:bottom w:val="single" w:color="2A5DA8" w:sz="10" w:space="2"/>
              </w:pBdr>
              <w:spacing w:after="0" w:before="160"/>
            </w:pPr>
            <w:r>
              <w:rPr>
                <w:rFonts w:ascii="Calibri" w:cs="Calibri" w:eastAsia="Calibri" w:hAnsi="Calibri"/>
                <w:b/>
                <w:bCs/>
                <w:color w:val="1A3560"/>
                <w:sz w:val="22"/>
                <w:szCs w:val="22"/>
              </w:rPr>
              <w:t xml:space="preserve">Summary</w:t>
            </w:r>
          </w:p>
          <w:p>
            <w:pPr>
              <w:spacing w:after="0" w:before="70"/>
            </w:pP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Hands-on Lead Data Scientist and Machine Learning Engineer with 6+ years of experience delivering production ML systems in fintech.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 help teams move from notebooks and fragmented pipelines to deployable, monitored, and governed machine learning systems.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Strong expertise in Databricks, PySpark, MLflow, feature stores, CI/CD for ML, model monitoring, real-time decisioning, and risk and fraud use cases.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Best fit for project-based engagements where a team needs senior execution, architecture, and production hardening.</w:t>
            </w:r>
          </w:p>
          <w:p>
            <w:pPr>
              <w:pBdr>
                <w:bottom w:val="single" w:color="2A5DA8" w:sz="10" w:space="2"/>
              </w:pBdr>
              <w:spacing w:after="0" w:before="160"/>
            </w:pPr>
            <w:r>
              <w:rPr>
                <w:rFonts w:ascii="Calibri" w:cs="Calibri" w:eastAsia="Calibri" w:hAnsi="Calibri"/>
                <w:b/>
                <w:bCs/>
                <w:color w:val="1A3560"/>
                <w:sz w:val="22"/>
                <w:szCs w:val="22"/>
              </w:rPr>
              <w:t xml:space="preserve">Representative Outcomes</w:t>
            </w:r>
          </w:p>
          <w:p>
            <w:pPr>
              <w:spacing w:after="0" w:before="70"/>
            </w:pP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Reduced model delivery cycles from 4–6 months to 2–4 weeks by standardizing ML platform components and deployment workflows.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Designed an offline and online feature store that enabled governed feature reuse across multiple financial products.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Built sub-second real-time inference infrastructure for automated decisioning in credit and fraud workflows.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Implemented monitoring and drift-detection frameworks that improved production visibility and reduced manual review cycles.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Helped scale automated underwriting capabilities that supported new commercial partnerships and broader ML adoption.</w:t>
            </w:r>
          </w:p>
          <w:p>
            <w:pPr>
              <w:pBdr>
                <w:bottom w:val="single" w:color="2A5DA8" w:sz="10" w:space="2"/>
              </w:pBdr>
              <w:spacing w:after="0" w:before="160"/>
            </w:pPr>
            <w:r>
              <w:rPr>
                <w:rFonts w:ascii="Calibri" w:cs="Calibri" w:eastAsia="Calibri" w:hAnsi="Calibri"/>
                <w:b/>
                <w:bCs/>
                <w:color w:val="1A3560"/>
                <w:sz w:val="22"/>
                <w:szCs w:val="22"/>
              </w:rPr>
              <w:t xml:space="preserve">Experience</w:t>
            </w:r>
          </w:p>
          <w:p>
            <w:pPr>
              <w:spacing w:after="0" w:before="70"/>
            </w:pPr>
          </w:p>
          <w:p>
            <w:pPr>
              <w:tabs>
                <w:tab w:val="right" w:pos="7106"/>
              </w:tabs>
              <w:spacing w:after="30" w:before="140"/>
            </w:pPr>
            <w:r>
              <w:rPr>
                <w:rFonts w:ascii="Calibri" w:cs="Calibri" w:eastAsia="Calibri" w:hAnsi="Calibri"/>
                <w:b/>
                <w:bCs/>
                <w:color w:val="1A3560"/>
                <w:sz w:val="21"/>
                <w:szCs w:val="21"/>
              </w:rPr>
              <w:t xml:space="preserve">Lead Data Scientist, </w:t>
            </w:r>
            <w:r>
              <w:rPr>
                <w:rFonts w:ascii="Calibri" w:cs="Calibri" w:eastAsia="Calibri" w:hAnsi="Calibri"/>
                <w:b/>
                <w:bCs/>
                <w:color w:val="1A3560"/>
                <w:sz w:val="21"/>
                <w:szCs w:val="21"/>
              </w:rPr>
              <w:t xml:space="preserve">Bankaya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	07/2024 – Present  |  Mexico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Architected and productionized a standardized ML platform across multiple financial products, reducing model development and deployment cycles from 4–6 months to 2–4 weeks.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Designed and deployed an offline/online feature store and real-time inference infrastructure supporting sub-second automated decisioning for credit and fraud use cases.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Built monitoring and drift-detection frameworks across production models, improving governance, reliability, and early risk detection.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Partnered with Product and Engineering to translate business OKRs into ML roadmaps, deployment standards, and measurable performance targets.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Designed agentic AI diagnostic workflows to automate analysis and stakeholder reporting, reducing manual review effort.</w:t>
            </w:r>
          </w:p>
          <w:p>
            <w:pPr>
              <w:tabs>
                <w:tab w:val="right" w:pos="7106"/>
              </w:tabs>
              <w:spacing w:after="30" w:before="140"/>
            </w:pPr>
            <w:r>
              <w:rPr>
                <w:rFonts w:ascii="Calibri" w:cs="Calibri" w:eastAsia="Calibri" w:hAnsi="Calibri"/>
                <w:b/>
                <w:bCs/>
                <w:color w:val="1A3560"/>
                <w:sz w:val="21"/>
                <w:szCs w:val="21"/>
              </w:rPr>
              <w:t xml:space="preserve">Data Scientist, </w:t>
            </w:r>
            <w:r>
              <w:rPr>
                <w:rFonts w:ascii="Calibri" w:cs="Calibri" w:eastAsia="Calibri" w:hAnsi="Calibri"/>
                <w:b/>
                <w:bCs/>
                <w:color w:val="1A3560"/>
                <w:sz w:val="21"/>
                <w:szCs w:val="21"/>
              </w:rPr>
              <w:t xml:space="preserve">Clara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	09/2022 – 06/2024  |  Mexico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Replaced rule-based underwriting with a scalable ML-driven credit engine, doubling approval rates while preserving portfolio risk stability.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Integrated fraud detection models, including graph-based network analytics, into the automated decision pipeline to improve detection of complex fraud patterns.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Contributed to production ML decisioning workflows for underwriting and fraud in a high-growth fintech environment.</w:t>
            </w:r>
          </w:p>
          <w:p>
            <w:pPr>
              <w:tabs>
                <w:tab w:val="right" w:pos="7106"/>
              </w:tabs>
              <w:spacing w:after="30" w:before="140"/>
            </w:pPr>
            <w:r>
              <w:rPr>
                <w:rFonts w:ascii="Calibri" w:cs="Calibri" w:eastAsia="Calibri" w:hAnsi="Calibri"/>
                <w:b/>
                <w:bCs/>
                <w:color w:val="1A3560"/>
                <w:sz w:val="21"/>
                <w:szCs w:val="21"/>
              </w:rPr>
              <w:t xml:space="preserve">Senior Data Scientist, </w:t>
            </w:r>
            <w:r>
              <w:rPr>
                <w:rFonts w:ascii="Calibri" w:cs="Calibri" w:eastAsia="Calibri" w:hAnsi="Calibri"/>
                <w:b/>
                <w:bCs/>
                <w:color w:val="1A3560"/>
                <w:sz w:val="21"/>
                <w:szCs w:val="21"/>
              </w:rPr>
              <w:t xml:space="preserve">Nubank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	08/2021 – 08/2022  |  Mexico City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Designed and deployed real-time fraud detection models in high-volume transaction environments.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Built low-latency inference pipelines enabling sub-second approvals across large event volumes.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Integrated external data providers to enrich fraud signals, increase automation, and reduce manual review dependency.</w:t>
            </w:r>
          </w:p>
          <w:p>
            <w:pPr>
              <w:tabs>
                <w:tab w:val="right" w:pos="7106"/>
              </w:tabs>
              <w:spacing w:after="30" w:before="140"/>
            </w:pPr>
            <w:r>
              <w:rPr>
                <w:rFonts w:ascii="Calibri" w:cs="Calibri" w:eastAsia="Calibri" w:hAnsi="Calibri"/>
                <w:b/>
                <w:bCs/>
                <w:color w:val="1A3560"/>
                <w:sz w:val="21"/>
                <w:szCs w:val="21"/>
              </w:rPr>
              <w:t xml:space="preserve">Senior Data Scientist, </w:t>
            </w:r>
            <w:r>
              <w:rPr>
                <w:rFonts w:ascii="Calibri" w:cs="Calibri" w:eastAsia="Calibri" w:hAnsi="Calibri"/>
                <w:b/>
                <w:bCs/>
                <w:color w:val="1A3560"/>
                <w:sz w:val="21"/>
                <w:szCs w:val="21"/>
              </w:rPr>
              <w:t xml:space="preserve">True Home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	01/2020 – 08/2021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Built underwriting and pricing models for lending decisions.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Implemented AWS-based microservices for near real-time scoring and production integration.</w:t>
            </w:r>
          </w:p>
          <w:p>
            <w:pPr>
              <w:tabs>
                <w:tab w:val="right" w:pos="7106"/>
              </w:tabs>
              <w:spacing w:after="30" w:before="140"/>
            </w:pPr>
            <w:r>
              <w:rPr>
                <w:rFonts w:ascii="Calibri" w:cs="Calibri" w:eastAsia="Calibri" w:hAnsi="Calibri"/>
                <w:b/>
                <w:bCs/>
                <w:color w:val="1A3560"/>
                <w:sz w:val="21"/>
                <w:szCs w:val="21"/>
              </w:rPr>
              <w:t xml:space="preserve">Data Scientist, </w:t>
            </w:r>
            <w:r>
              <w:rPr>
                <w:rFonts w:ascii="Calibri" w:cs="Calibri" w:eastAsia="Calibri" w:hAnsi="Calibri"/>
                <w:b/>
                <w:bCs/>
                <w:color w:val="1A3560"/>
                <w:sz w:val="21"/>
                <w:szCs w:val="21"/>
              </w:rPr>
              <w:t xml:space="preserve">HITSS Corporativo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	10/2018 – 01/2020  |  Bogotá, Colombia</w:t>
            </w:r>
          </w:p>
          <w:p>
            <w:pPr>
              <w:tabs>
                <w:tab w:val="right" w:pos="7106"/>
              </w:tabs>
              <w:spacing w:after="30" w:before="140"/>
            </w:pPr>
            <w:r>
              <w:rPr>
                <w:rFonts w:ascii="Calibri" w:cs="Calibri" w:eastAsia="Calibri" w:hAnsi="Calibri"/>
                <w:b/>
                <w:bCs/>
                <w:color w:val="1A3560"/>
                <w:sz w:val="21"/>
                <w:szCs w:val="21"/>
              </w:rPr>
              <w:t xml:space="preserve">Risk &amp; Data Roles, </w:t>
            </w:r>
            <w:r>
              <w:rPr>
                <w:rFonts w:ascii="Calibri" w:cs="Calibri" w:eastAsia="Calibri" w:hAnsi="Calibri"/>
                <w:b/>
                <w:bCs/>
                <w:color w:val="1A3560"/>
                <w:sz w:val="21"/>
                <w:szCs w:val="21"/>
              </w:rPr>
              <w:t xml:space="preserve">BBVA, Bancaribe, Freelance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	09/2016 – 10/2019  |  Venezuela</w:t>
            </w:r>
          </w:p>
        </w:tc>
      </w:tr>
    </w:tbl>
    <w:sectPr>
      <w:pgSz w:w="11906" w:h="16838" w:orient="portrait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basedOn w:val="Normal"/>
    <w:rPr>
      <w:color w:val="2A5DA8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joe6quxy_nk4ltjgk5tm" Type="http://schemas.openxmlformats.org/officeDocument/2006/relationships/hyperlink" Target="https://www.linkedin.com/in/francys-lanza-garcia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2026-04-19T19:42:40.920Z</dcterms:created>
  <dcterms:modified xsi:type="dcterms:W3CDTF">2026-04-19T19:42:40.921Z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