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b/>
          <w:color w:val="116A78"/>
          <w:sz w:val="58"/>
        </w:rPr>
        <w:t>L’APPAREIL DIGESTIF</w:t>
        <w:br/>
        <w:t>ET LA DIGESTION</w:t>
      </w:r>
    </w:p>
    <w:p>
      <w:pPr>
        <w:jc w:val="center"/>
      </w:pPr>
      <w:r>
        <w:rPr>
          <w:rFonts w:ascii="Arial" w:hAnsi="Arial"/>
          <w:b/>
          <w:color w:val="D75D5D"/>
          <w:sz w:val="32"/>
        </w:rPr>
        <w:t>Cours fusionné — IFSI 1re année</w:t>
      </w:r>
    </w:p>
    <w:p>
      <w:pPr>
        <w:spacing w:before="360"/>
        <w:jc w:val="center"/>
      </w:pPr>
      <w:r>
        <w:rPr>
          <w:rFonts w:ascii="Arial" w:hAnsi="Arial"/>
          <w:color w:val="23405A"/>
          <w:sz w:val="24"/>
        </w:rPr>
        <w:t>Diaporama de la prof + cours Réussis ton IFSI</w:t>
      </w:r>
    </w:p>
    <w:tbl>
      <w:tblPr>
        <w:tblW w:type="auto" w:w="0"/>
        <w:jc w:val="center"/>
        <w:tblLayout w:type="autofit"/>
        <w:tblLook w:firstColumn="1" w:firstRow="1" w:lastColumn="0" w:lastRow="0" w:noHBand="0" w:noVBand="1" w:val="04A0"/>
      </w:tblPr>
      <w:tblGrid>
        <w:gridCol w:w="10148"/>
      </w:tblGrid>
      <w:tr>
        <w:tc>
          <w:tcPr>
            <w:tcW w:type="dxa" w:w="10148"/>
            <w:shd w:fill="EAF4F8"/>
            <w:tcBorders>
              <w:top w:val="nil"/>
              <w:left w:val="single" w:sz="22" w:color="0B8FA3"/>
              <w:bottom w:val="nil"/>
              <w:right w:val="nil"/>
            </w:tcBorders>
            <w:tcMar>
              <w:top w:w="90" w:type="dxa"/>
              <w:start w:w="130" w:type="dxa"/>
              <w:bottom w:w="90" w:type="dxa"/>
              <w:end w:w="130" w:type="dxa"/>
            </w:tcMar>
          </w:tcPr>
          <w:p>
            <w:pPr>
              <w:spacing w:after="40"/>
            </w:pPr>
            <w:r>
              <w:rPr>
                <w:rFonts w:ascii="Arial" w:hAnsi="Arial"/>
                <w:b/>
                <w:color w:val="0B8FA3"/>
                <w:sz w:val="20"/>
              </w:rPr>
              <w:t>Méthode de fusion</w:t>
            </w:r>
          </w:p>
          <w:p>
            <w:pPr>
              <w:spacing w:after="20"/>
            </w:pPr>
            <w:r>
              <w:rPr>
                <w:rFonts w:ascii="Arial" w:hAnsi="Arial"/>
                <w:sz w:val="18"/>
              </w:rPr>
              <w:t>Le diaporama de la prof sert de trame principale. Les éléments lisibles du cours Réussis ton IFSI sont intégrés comme compléments anatomiques et visuels, sans répétition inutile.</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Règle respectée</w:t>
            </w:r>
          </w:p>
          <w:p>
            <w:pPr>
              <w:spacing w:after="20"/>
            </w:pPr>
            <w:r>
              <w:rPr>
                <w:rFonts w:ascii="Arial" w:hAnsi="Arial"/>
                <w:sz w:val="18"/>
              </w:rPr>
              <w:t>Aucune information extérieure n’a été ajoutée. Quand un point vient du cours Réussis ton IFSI plutôt que du diaporama, il est signalé dans un encadré orange « Complément Réussis ton IFSI ».</w:t>
            </w:r>
          </w:p>
        </w:tc>
      </w:tr>
    </w:tbl>
    <w:p>
      <w:pPr>
        <w:spacing w:after="20"/>
      </w:pPr>
    </w:p>
    <w:p>
      <w:pPr>
        <w:spacing w:before="640"/>
        <w:jc w:val="center"/>
      </w:pPr>
      <w:r>
        <w:rPr>
          <w:rFonts w:ascii="Arial" w:hAnsi="Arial"/>
          <w:i/>
          <w:color w:val="6A7480"/>
          <w:sz w:val="22"/>
        </w:rPr>
        <w:t>Objectif : un cours visuel, condensé mais suffisamment complet pour réviser.</w:t>
      </w:r>
    </w:p>
    <w:p>
      <w:r>
        <w:br w:type="page"/>
      </w:r>
    </w:p>
    <w:p>
      <w:pPr>
        <w:pStyle w:val="Heading1"/>
        <w:pBdr>
          <w:bottom w:val="single" w:sz="18" w:space="2" w:color="0B8FA3"/>
        </w:pBdr>
      </w:pPr>
      <w:r>
        <w:t>Comment utiliser ce cours</w:t>
      </w:r>
    </w:p>
    <w:tbl>
      <w:tblPr>
        <w:tblW w:type="auto" w:w="0"/>
        <w:jc w:val="center"/>
        <w:tblLayout w:type="autofit"/>
        <w:tblLook w:firstColumn="1" w:firstRow="1" w:lastColumn="0" w:lastRow="0" w:noHBand="0" w:noVBand="1" w:val="04A0"/>
      </w:tblPr>
      <w:tblGrid>
        <w:gridCol w:w="10148"/>
      </w:tblGrid>
      <w:tr>
        <w:tc>
          <w:tcPr>
            <w:tcW w:type="dxa" w:w="10148"/>
            <w:shd w:fill="F4F6F8"/>
            <w:tcBorders>
              <w:top w:val="nil"/>
              <w:left w:val="single" w:sz="22" w:color="356D9A"/>
              <w:bottom w:val="nil"/>
              <w:right w:val="nil"/>
            </w:tcBorders>
            <w:tcMar>
              <w:top w:w="90" w:type="dxa"/>
              <w:start w:w="130" w:type="dxa"/>
              <w:bottom w:w="90" w:type="dxa"/>
              <w:end w:w="130" w:type="dxa"/>
            </w:tcMar>
          </w:tcPr>
          <w:p>
            <w:pPr>
              <w:spacing w:after="40"/>
            </w:pPr>
            <w:r>
              <w:rPr>
                <w:rFonts w:ascii="Arial" w:hAnsi="Arial"/>
                <w:b/>
                <w:color w:val="356D9A"/>
                <w:sz w:val="20"/>
              </w:rPr>
              <w:t>Code visuel</w:t>
            </w:r>
          </w:p>
          <w:p>
            <w:pPr>
              <w:pStyle w:val="ListBullet"/>
              <w:spacing w:after="0"/>
              <w:ind w:left="198" w:hanging="102"/>
            </w:pPr>
            <w:r>
              <w:rPr>
                <w:rFonts w:ascii="Arial" w:hAnsi="Arial"/>
                <w:sz w:val="18"/>
              </w:rPr>
              <w:t>Titres bleu-vert : structure principale du cours.</w:t>
            </w:r>
          </w:p>
          <w:p>
            <w:pPr>
              <w:pStyle w:val="ListBullet"/>
              <w:spacing w:after="0"/>
              <w:ind w:left="198" w:hanging="102"/>
            </w:pPr>
            <w:r>
              <w:rPr>
                <w:rFonts w:ascii="Arial" w:hAnsi="Arial"/>
                <w:sz w:val="18"/>
              </w:rPr>
              <w:t>Encadrés verts : notions à retenir en priorité.</w:t>
            </w:r>
          </w:p>
          <w:p>
            <w:pPr>
              <w:pStyle w:val="ListBullet"/>
              <w:spacing w:after="0"/>
              <w:ind w:left="198" w:hanging="102"/>
            </w:pPr>
            <w:r>
              <w:rPr>
                <w:rFonts w:ascii="Arial" w:hAnsi="Arial"/>
                <w:sz w:val="18"/>
              </w:rPr>
              <w:t>Encadrés orange : compléments identifiés dans le cours Réussis ton IFSI.</w:t>
            </w:r>
          </w:p>
          <w:p>
            <w:pPr>
              <w:pStyle w:val="ListBullet"/>
              <w:spacing w:after="0"/>
              <w:ind w:left="198" w:hanging="102"/>
            </w:pPr>
            <w:r>
              <w:rPr>
                <w:rFonts w:ascii="Arial" w:hAnsi="Arial"/>
                <w:sz w:val="18"/>
              </w:rPr>
              <w:t>Tableaux : comparaisons et synthèses pour les révisions.</w:t>
            </w:r>
          </w:p>
          <w:p>
            <w:pPr>
              <w:pStyle w:val="ListBullet"/>
              <w:spacing w:after="0"/>
              <w:ind w:left="198" w:hanging="102"/>
            </w:pPr>
            <w:r>
              <w:rPr>
                <w:rFonts w:ascii="Arial" w:hAnsi="Arial"/>
                <w:sz w:val="18"/>
              </w:rPr>
              <w:t>Schémas : extraits du diaporama de la prof.</w:t>
            </w:r>
          </w:p>
        </w:tc>
      </w:tr>
    </w:tbl>
    <w:p>
      <w:pPr>
        <w:spacing w:after="20"/>
      </w:pPr>
    </w:p>
    <w:p>
      <w:pPr>
        <w:pStyle w:val="Heading2"/>
      </w:pPr>
      <w:r>
        <w:t>Plan</w:t>
      </w:r>
    </w:p>
    <w:p>
      <w:pPr>
        <w:pStyle w:val="ListBullet"/>
        <w:spacing w:after="30"/>
        <w:ind w:left="198" w:hanging="102"/>
      </w:pPr>
      <w:r>
        <w:rPr>
          <w:rFonts w:ascii="Arial" w:hAnsi="Arial"/>
        </w:rPr>
        <w:t>1. Généralités et organisation du système digestif</w:t>
      </w:r>
    </w:p>
    <w:p>
      <w:pPr>
        <w:pStyle w:val="ListBullet"/>
        <w:spacing w:after="30"/>
        <w:ind w:left="198" w:hanging="102"/>
      </w:pPr>
      <w:r>
        <w:rPr>
          <w:rFonts w:ascii="Arial" w:hAnsi="Arial"/>
        </w:rPr>
        <w:t>2. Étape buccale : mastication et salive</w:t>
      </w:r>
    </w:p>
    <w:p>
      <w:pPr>
        <w:pStyle w:val="ListBullet"/>
        <w:spacing w:after="30"/>
        <w:ind w:left="198" w:hanging="102"/>
      </w:pPr>
      <w:r>
        <w:rPr>
          <w:rFonts w:ascii="Arial" w:hAnsi="Arial"/>
        </w:rPr>
        <w:t>3. Étape œsophagienne : déglutition et péristaltisme</w:t>
      </w:r>
    </w:p>
    <w:p>
      <w:pPr>
        <w:pStyle w:val="ListBullet"/>
        <w:spacing w:after="30"/>
        <w:ind w:left="198" w:hanging="102"/>
      </w:pPr>
      <w:r>
        <w:rPr>
          <w:rFonts w:ascii="Arial" w:hAnsi="Arial"/>
        </w:rPr>
        <w:t>4. Étape gastrique : estomac et suc gastrique</w:t>
      </w:r>
    </w:p>
    <w:p>
      <w:pPr>
        <w:pStyle w:val="ListBullet"/>
        <w:spacing w:after="30"/>
        <w:ind w:left="198" w:hanging="102"/>
      </w:pPr>
      <w:r>
        <w:rPr>
          <w:rFonts w:ascii="Arial" w:hAnsi="Arial"/>
        </w:rPr>
        <w:t>5. Étape intestinale : formation des nutriments</w:t>
      </w:r>
    </w:p>
    <w:p>
      <w:pPr>
        <w:pStyle w:val="ListBullet"/>
        <w:spacing w:after="30"/>
        <w:ind w:left="198" w:hanging="102"/>
      </w:pPr>
      <w:r>
        <w:rPr>
          <w:rFonts w:ascii="Arial" w:hAnsi="Arial"/>
        </w:rPr>
        <w:t>6. Absorption intestinale</w:t>
      </w:r>
    </w:p>
    <w:p>
      <w:pPr>
        <w:pStyle w:val="ListBullet"/>
        <w:spacing w:after="30"/>
        <w:ind w:left="198" w:hanging="102"/>
      </w:pPr>
      <w:r>
        <w:rPr>
          <w:rFonts w:ascii="Arial" w:hAnsi="Arial"/>
        </w:rPr>
        <w:t>7. Gros intestin et défécation</w:t>
      </w:r>
    </w:p>
    <w:p>
      <w:pPr>
        <w:pStyle w:val="ListBullet"/>
        <w:spacing w:after="30"/>
        <w:ind w:left="198" w:hanging="102"/>
      </w:pPr>
      <w:r>
        <w:rPr>
          <w:rFonts w:ascii="Arial" w:hAnsi="Arial"/>
        </w:rPr>
        <w:t>8. Synthèse générale et fiche express</w:t>
      </w:r>
    </w:p>
    <w:tbl>
      <w:tblPr>
        <w:tblW w:type="auto" w:w="0"/>
        <w:jc w:val="center"/>
        <w:tblLayout w:type="autofit"/>
        <w:tblLook w:firstColumn="1" w:firstRow="1" w:lastColumn="0" w:lastRow="0" w:noHBand="0" w:noVBand="1" w:val="04A0"/>
      </w:tblPr>
      <w:tblGrid>
        <w:gridCol w:w="10148"/>
      </w:tblGrid>
      <w:tr>
        <w:tc>
          <w:tcPr>
            <w:tcW w:type="dxa" w:w="10148"/>
            <w:shd w:fill="FBECEC"/>
            <w:tcBorders>
              <w:top w:val="nil"/>
              <w:left w:val="single" w:sz="22" w:color="D75D5D"/>
              <w:bottom w:val="nil"/>
              <w:right w:val="nil"/>
            </w:tcBorders>
            <w:tcMar>
              <w:top w:w="90" w:type="dxa"/>
              <w:start w:w="130" w:type="dxa"/>
              <w:bottom w:w="90" w:type="dxa"/>
              <w:end w:w="130" w:type="dxa"/>
            </w:tcMar>
          </w:tcPr>
          <w:p>
            <w:pPr>
              <w:spacing w:after="40"/>
            </w:pPr>
            <w:r>
              <w:rPr>
                <w:rFonts w:ascii="Arial" w:hAnsi="Arial"/>
                <w:b/>
                <w:color w:val="D75D5D"/>
                <w:sz w:val="20"/>
              </w:rPr>
              <w:t>Attention au plan du diaporama</w:t>
            </w:r>
          </w:p>
          <w:p>
            <w:pPr>
              <w:spacing w:after="20"/>
            </w:pPr>
            <w:r>
              <w:rPr>
                <w:rFonts w:ascii="Arial" w:hAnsi="Arial"/>
                <w:sz w:val="18"/>
              </w:rPr>
              <w:t>Les rubriques « troubles de l’estomac » et « troubles du côlon » apparaissent dans le plan final du diaporama, mais ne sont pas développées dans les pages fournies : elles ne sont donc pas complétées ici.</w:t>
            </w:r>
          </w:p>
        </w:tc>
      </w:tr>
    </w:tbl>
    <w:p>
      <w:pPr>
        <w:spacing w:after="20"/>
      </w:pPr>
    </w:p>
    <w:p>
      <w:r>
        <w:br w:type="page"/>
      </w:r>
    </w:p>
    <w:p>
      <w:pPr>
        <w:pStyle w:val="Heading1"/>
        <w:pBdr>
          <w:bottom w:val="single" w:sz="18" w:space="2" w:color="0B8FA3"/>
        </w:pBdr>
      </w:pPr>
      <w:r>
        <w:t>1. Généralités et organisation du système digestif</w:t>
      </w:r>
    </w:p>
    <w:p>
      <w:pPr>
        <w:pStyle w:val="Heading2"/>
      </w:pPr>
      <w:r>
        <w:t>1.1. Définition de la digestion</w:t>
      </w:r>
    </w:p>
    <w:p>
      <w:r>
        <w:rPr>
          <w:rFonts w:ascii="Arial" w:hAnsi="Arial"/>
          <w:b/>
          <w:color w:val="116A78"/>
        </w:rPr>
        <w:t>La digestion</w:t>
      </w:r>
      <w:r>
        <w:rPr>
          <w:rFonts w:ascii="Arial" w:hAnsi="Arial"/>
        </w:rPr>
        <w:t xml:space="preserve"> correspond à l’ensemble des transformations permettant de réduire de grosses molécules alimentaires en </w:t>
      </w:r>
      <w:r>
        <w:rPr>
          <w:rFonts w:ascii="Arial" w:hAnsi="Arial"/>
          <w:b/>
          <w:color w:val="D75D5D"/>
        </w:rPr>
        <w:t>nutriments</w:t>
      </w:r>
      <w:r>
        <w:rPr>
          <w:rFonts w:ascii="Arial" w:hAnsi="Arial"/>
        </w:rPr>
        <w:t xml:space="preserve"> utilisables par l’organisme.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Type de transformation</w:t>
            </w:r>
          </w:p>
        </w:tc>
        <w:tc>
          <w:tcPr>
            <w:tcW w:type="dxa" w:w="6236"/>
            <w:shd w:fill="23405A"/>
            <w:vAlign w:val="center"/>
            <w:tcMar>
              <w:top w:w="80" w:type="dxa"/>
              <w:start w:w="80" w:type="dxa"/>
              <w:bottom w:w="80" w:type="dxa"/>
              <w:end w:w="80" w:type="dxa"/>
            </w:tcMar>
          </w:tcPr>
          <w:p>
            <w:pPr>
              <w:jc w:val="center"/>
            </w:pPr>
            <w:r>
              <w:rPr>
                <w:rFonts w:ascii="Arial" w:hAnsi="Arial"/>
                <w:b/>
                <w:color w:val="FFFFFF"/>
                <w:sz w:val="17"/>
              </w:rPr>
              <w:t>Principe</w:t>
            </w:r>
          </w:p>
        </w:tc>
      </w:tr>
      <w:tr>
        <w:tc>
          <w:tcPr>
            <w:tcW w:type="dxa" w:w="2835"/>
            <w:shd w:fill="FFFFFF"/>
            <w:vAlign w:val="center"/>
            <w:tcMar>
              <w:top w:w="65" w:type="dxa"/>
              <w:start w:w="75" w:type="dxa"/>
              <w:bottom w:w="65" w:type="dxa"/>
              <w:end w:w="75" w:type="dxa"/>
            </w:tcMar>
          </w:tcPr>
          <w:p>
            <w:r>
              <w:rPr>
                <w:rFonts w:ascii="Arial" w:hAnsi="Arial"/>
                <w:sz w:val="17"/>
              </w:rPr>
              <w:t>Mécanique</w:t>
            </w:r>
          </w:p>
        </w:tc>
        <w:tc>
          <w:tcPr>
            <w:tcW w:type="dxa" w:w="6236"/>
            <w:shd w:fill="FFFFFF"/>
            <w:vAlign w:val="center"/>
            <w:tcMar>
              <w:top w:w="65" w:type="dxa"/>
              <w:start w:w="75" w:type="dxa"/>
              <w:bottom w:w="65" w:type="dxa"/>
              <w:end w:w="75" w:type="dxa"/>
            </w:tcMar>
          </w:tcPr>
          <w:p>
            <w:r>
              <w:rPr>
                <w:rFonts w:ascii="Arial" w:hAnsi="Arial"/>
                <w:sz w:val="17"/>
              </w:rPr>
              <w:t>Action physique sur les aliments : broyage, brassage, propulsion.</w:t>
            </w:r>
          </w:p>
        </w:tc>
      </w:tr>
      <w:tr>
        <w:tc>
          <w:tcPr>
            <w:tcW w:type="dxa" w:w="2835"/>
            <w:shd w:fill="F7F9FB"/>
            <w:vAlign w:val="center"/>
            <w:tcMar>
              <w:top w:w="65" w:type="dxa"/>
              <w:start w:w="75" w:type="dxa"/>
              <w:bottom w:w="65" w:type="dxa"/>
              <w:end w:w="75" w:type="dxa"/>
            </w:tcMar>
          </w:tcPr>
          <w:p>
            <w:r>
              <w:rPr>
                <w:rFonts w:ascii="Arial" w:hAnsi="Arial"/>
                <w:sz w:val="17"/>
              </w:rPr>
              <w:t>Chimique</w:t>
            </w:r>
          </w:p>
        </w:tc>
        <w:tc>
          <w:tcPr>
            <w:tcW w:type="dxa" w:w="6236"/>
            <w:shd w:fill="F7F9FB"/>
            <w:vAlign w:val="center"/>
            <w:tcMar>
              <w:top w:w="65" w:type="dxa"/>
              <w:start w:w="75" w:type="dxa"/>
              <w:bottom w:w="65" w:type="dxa"/>
              <w:end w:w="75" w:type="dxa"/>
            </w:tcMar>
          </w:tcPr>
          <w:p>
            <w:r>
              <w:rPr>
                <w:rFonts w:ascii="Arial" w:hAnsi="Arial"/>
                <w:sz w:val="17"/>
              </w:rPr>
              <w:t>Action des sécrétions et des enzymes digestives sur les molécules alimentaires.</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À retenir</w:t>
            </w:r>
          </w:p>
          <w:p>
            <w:pPr>
              <w:spacing w:after="20"/>
            </w:pPr>
            <w:r>
              <w:rPr>
                <w:rFonts w:ascii="Arial" w:hAnsi="Arial"/>
                <w:sz w:val="18"/>
              </w:rPr>
              <w:t>La digestion associe toujours des transformations mécaniques et des transformations chimiques.</w:t>
            </w:r>
          </w:p>
        </w:tc>
      </w:tr>
    </w:tbl>
    <w:p>
      <w:pPr>
        <w:spacing w:after="20"/>
      </w:pPr>
    </w:p>
    <w:p>
      <w:pPr>
        <w:pStyle w:val="Heading2"/>
      </w:pPr>
      <w:r>
        <w:t>1.2. Constituants du système digestif</w:t>
      </w:r>
    </w:p>
    <w:p>
      <w:r>
        <w:rPr>
          <w:rFonts w:ascii="Arial" w:hAnsi="Arial"/>
        </w:rPr>
        <w:t>La digestion s’effectue à l’intérieur du système digestif, constitué de deux grands ensembles :</w:t>
      </w:r>
    </w:p>
    <w:p>
      <w:pPr>
        <w:pStyle w:val="ListBullet"/>
        <w:spacing w:after="30"/>
        <w:ind w:left="198" w:hanging="102"/>
      </w:pPr>
      <w:r>
        <w:rPr>
          <w:rFonts w:ascii="Arial" w:hAnsi="Arial"/>
        </w:rPr>
        <w:t>Le tube digestif : tube ouvert aux deux extrémités, de la bouche à l’anus.</w:t>
      </w:r>
    </w:p>
    <w:p>
      <w:pPr>
        <w:pStyle w:val="ListBullet"/>
        <w:spacing w:after="30"/>
        <w:ind w:left="198" w:hanging="102"/>
      </w:pPr>
      <w:r>
        <w:rPr>
          <w:rFonts w:ascii="Arial" w:hAnsi="Arial"/>
        </w:rPr>
        <w:t>Les glandes annexes : glandes salivaires, pancréas et foie, qui déversent leurs sécrétions dans le tube digestif.</w:t>
      </w:r>
    </w:p>
    <w:p>
      <w:pPr>
        <w:jc w:val="center"/>
      </w:pPr>
      <w:r>
        <w:drawing>
          <wp:inline xmlns:a="http://schemas.openxmlformats.org/drawingml/2006/main" xmlns:pic="http://schemas.openxmlformats.org/drawingml/2006/picture">
            <wp:extent cx="5328000" cy="4096928"/>
            <wp:docPr id="1" name="Picture 1"/>
            <wp:cNvGraphicFramePr>
              <a:graphicFrameLocks noChangeAspect="1"/>
            </wp:cNvGraphicFramePr>
            <a:graphic>
              <a:graphicData uri="http://schemas.openxmlformats.org/drawingml/2006/picture">
                <pic:pic>
                  <pic:nvPicPr>
                    <pic:cNvPr id="0" name="slide_04.png"/>
                    <pic:cNvPicPr/>
                  </pic:nvPicPr>
                  <pic:blipFill>
                    <a:blip r:embed="rId11"/>
                    <a:stretch>
                      <a:fillRect/>
                    </a:stretch>
                  </pic:blipFill>
                  <pic:spPr>
                    <a:xfrm>
                      <a:off x="0" y="0"/>
                      <a:ext cx="5328000" cy="4096928"/>
                    </a:xfrm>
                    <a:prstGeom prst="rect"/>
                  </pic:spPr>
                </pic:pic>
              </a:graphicData>
            </a:graphic>
          </wp:inline>
        </w:drawing>
      </w:r>
    </w:p>
    <w:p>
      <w:pPr>
        <w:pStyle w:val="FigureCaption"/>
        <w:jc w:val="center"/>
      </w:pPr>
      <w:r>
        <w:t>Schéma général du système digestif et des glandes annexes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schéma du cours Réussis ton IFSI repère également les principaux segments du tube digestif ainsi que le foie, la vésicule biliaire et le pancréas.</w:t>
            </w:r>
          </w:p>
        </w:tc>
      </w:tr>
    </w:tbl>
    <w:p>
      <w:pPr>
        <w:spacing w:after="20"/>
      </w:pPr>
    </w:p>
    <w:p>
      <w:r>
        <w:br w:type="page"/>
      </w:r>
    </w:p>
    <w:p>
      <w:pPr>
        <w:pStyle w:val="Heading2"/>
      </w:pPr>
      <w:r>
        <w:t>1.3. Organisation de la paroi du tube digestif</w:t>
      </w:r>
    </w:p>
    <w:p>
      <w:r>
        <w:rPr>
          <w:rFonts w:ascii="Arial" w:hAnsi="Arial"/>
        </w:rPr>
        <w:t>De l’œsophage jusqu’à l’anus, la paroi du tube digestif possède une organisation générale en quatre couches, de l’intérieur vers l’extérieur :</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1417"/>
            <w:shd w:fill="23405A"/>
            <w:vAlign w:val="center"/>
            <w:tcMar>
              <w:top w:w="80" w:type="dxa"/>
              <w:start w:w="80" w:type="dxa"/>
              <w:bottom w:w="80" w:type="dxa"/>
              <w:end w:w="80" w:type="dxa"/>
            </w:tcMar>
          </w:tcPr>
          <w:p>
            <w:pPr>
              <w:jc w:val="center"/>
            </w:pPr>
            <w:r>
              <w:rPr>
                <w:rFonts w:ascii="Arial" w:hAnsi="Arial"/>
                <w:b/>
                <w:color w:val="FFFFFF"/>
                <w:sz w:val="17"/>
              </w:rPr>
              <w:t>Ordre</w:t>
            </w:r>
          </w:p>
        </w:tc>
        <w:tc>
          <w:tcPr>
            <w:tcW w:type="dxa" w:w="7087"/>
            <w:shd w:fill="23405A"/>
            <w:vAlign w:val="center"/>
            <w:tcMar>
              <w:top w:w="80" w:type="dxa"/>
              <w:start w:w="80" w:type="dxa"/>
              <w:bottom w:w="80" w:type="dxa"/>
              <w:end w:w="80" w:type="dxa"/>
            </w:tcMar>
          </w:tcPr>
          <w:p>
            <w:pPr>
              <w:jc w:val="center"/>
            </w:pPr>
            <w:r>
              <w:rPr>
                <w:rFonts w:ascii="Arial" w:hAnsi="Arial"/>
                <w:b/>
                <w:color w:val="FFFFFF"/>
                <w:sz w:val="17"/>
              </w:rPr>
              <w:t>Couche</w:t>
            </w:r>
          </w:p>
        </w:tc>
      </w:tr>
      <w:tr>
        <w:tc>
          <w:tcPr>
            <w:tcW w:type="dxa" w:w="1417"/>
            <w:shd w:fill="FFFFFF"/>
            <w:vAlign w:val="center"/>
            <w:tcMar>
              <w:top w:w="65" w:type="dxa"/>
              <w:start w:w="75" w:type="dxa"/>
              <w:bottom w:w="65" w:type="dxa"/>
              <w:end w:w="75" w:type="dxa"/>
            </w:tcMar>
          </w:tcPr>
          <w:p>
            <w:r>
              <w:rPr>
                <w:rFonts w:ascii="Arial" w:hAnsi="Arial"/>
                <w:sz w:val="17"/>
              </w:rPr>
              <w:t>1</w:t>
            </w:r>
          </w:p>
        </w:tc>
        <w:tc>
          <w:tcPr>
            <w:tcW w:type="dxa" w:w="7087"/>
            <w:shd w:fill="FFFFFF"/>
            <w:vAlign w:val="center"/>
            <w:tcMar>
              <w:top w:w="65" w:type="dxa"/>
              <w:start w:w="75" w:type="dxa"/>
              <w:bottom w:w="65" w:type="dxa"/>
              <w:end w:w="75" w:type="dxa"/>
            </w:tcMar>
          </w:tcPr>
          <w:p>
            <w:r>
              <w:rPr>
                <w:rFonts w:ascii="Arial" w:hAnsi="Arial"/>
                <w:sz w:val="17"/>
              </w:rPr>
              <w:t>Muqueuse</w:t>
            </w:r>
          </w:p>
        </w:tc>
      </w:tr>
      <w:tr>
        <w:tc>
          <w:tcPr>
            <w:tcW w:type="dxa" w:w="1417"/>
            <w:shd w:fill="F7F9FB"/>
            <w:vAlign w:val="center"/>
            <w:tcMar>
              <w:top w:w="65" w:type="dxa"/>
              <w:start w:w="75" w:type="dxa"/>
              <w:bottom w:w="65" w:type="dxa"/>
              <w:end w:w="75" w:type="dxa"/>
            </w:tcMar>
          </w:tcPr>
          <w:p>
            <w:r>
              <w:rPr>
                <w:rFonts w:ascii="Arial" w:hAnsi="Arial"/>
                <w:sz w:val="17"/>
              </w:rPr>
              <w:t>2</w:t>
            </w:r>
          </w:p>
        </w:tc>
        <w:tc>
          <w:tcPr>
            <w:tcW w:type="dxa" w:w="7087"/>
            <w:shd w:fill="F7F9FB"/>
            <w:vAlign w:val="center"/>
            <w:tcMar>
              <w:top w:w="65" w:type="dxa"/>
              <w:start w:w="75" w:type="dxa"/>
              <w:bottom w:w="65" w:type="dxa"/>
              <w:end w:w="75" w:type="dxa"/>
            </w:tcMar>
          </w:tcPr>
          <w:p>
            <w:r>
              <w:rPr>
                <w:rFonts w:ascii="Arial" w:hAnsi="Arial"/>
                <w:sz w:val="17"/>
              </w:rPr>
              <w:t>Sous-muqueuse</w:t>
            </w:r>
          </w:p>
        </w:tc>
      </w:tr>
      <w:tr>
        <w:tc>
          <w:tcPr>
            <w:tcW w:type="dxa" w:w="1417"/>
            <w:shd w:fill="FFFFFF"/>
            <w:vAlign w:val="center"/>
            <w:tcMar>
              <w:top w:w="65" w:type="dxa"/>
              <w:start w:w="75" w:type="dxa"/>
              <w:bottom w:w="65" w:type="dxa"/>
              <w:end w:w="75" w:type="dxa"/>
            </w:tcMar>
          </w:tcPr>
          <w:p>
            <w:r>
              <w:rPr>
                <w:rFonts w:ascii="Arial" w:hAnsi="Arial"/>
                <w:sz w:val="17"/>
              </w:rPr>
              <w:t>3</w:t>
            </w:r>
          </w:p>
        </w:tc>
        <w:tc>
          <w:tcPr>
            <w:tcW w:type="dxa" w:w="7087"/>
            <w:shd w:fill="FFFFFF"/>
            <w:vAlign w:val="center"/>
            <w:tcMar>
              <w:top w:w="65" w:type="dxa"/>
              <w:start w:w="75" w:type="dxa"/>
              <w:bottom w:w="65" w:type="dxa"/>
              <w:end w:w="75" w:type="dxa"/>
            </w:tcMar>
          </w:tcPr>
          <w:p>
            <w:r>
              <w:rPr>
                <w:rFonts w:ascii="Arial" w:hAnsi="Arial"/>
                <w:sz w:val="17"/>
              </w:rPr>
              <w:t>Musculeuse</w:t>
            </w:r>
          </w:p>
        </w:tc>
      </w:tr>
      <w:tr>
        <w:tc>
          <w:tcPr>
            <w:tcW w:type="dxa" w:w="1417"/>
            <w:shd w:fill="F7F9FB"/>
            <w:vAlign w:val="center"/>
            <w:tcMar>
              <w:top w:w="65" w:type="dxa"/>
              <w:start w:w="75" w:type="dxa"/>
              <w:bottom w:w="65" w:type="dxa"/>
              <w:end w:w="75" w:type="dxa"/>
            </w:tcMar>
          </w:tcPr>
          <w:p>
            <w:r>
              <w:rPr>
                <w:rFonts w:ascii="Arial" w:hAnsi="Arial"/>
                <w:sz w:val="17"/>
              </w:rPr>
              <w:t>4</w:t>
            </w:r>
          </w:p>
        </w:tc>
        <w:tc>
          <w:tcPr>
            <w:tcW w:type="dxa" w:w="7087"/>
            <w:shd w:fill="F7F9FB"/>
            <w:vAlign w:val="center"/>
            <w:tcMar>
              <w:top w:w="65" w:type="dxa"/>
              <w:start w:w="75" w:type="dxa"/>
              <w:bottom w:w="65" w:type="dxa"/>
              <w:end w:w="75" w:type="dxa"/>
            </w:tcMar>
          </w:tcPr>
          <w:p>
            <w:r>
              <w:rPr>
                <w:rFonts w:ascii="Arial" w:hAnsi="Arial"/>
                <w:sz w:val="17"/>
              </w:rPr>
              <w:t>Séreuse</w:t>
            </w:r>
          </w:p>
        </w:tc>
      </w:tr>
    </w:tbl>
    <w:p>
      <w:pPr>
        <w:spacing w:after="20"/>
      </w:pPr>
    </w:p>
    <w:p>
      <w:pPr>
        <w:jc w:val="center"/>
      </w:pPr>
      <w:r>
        <w:drawing>
          <wp:inline xmlns:a="http://schemas.openxmlformats.org/drawingml/2006/main" xmlns:pic="http://schemas.openxmlformats.org/drawingml/2006/picture">
            <wp:extent cx="5256000" cy="3878533"/>
            <wp:docPr id="2" name="Picture 2"/>
            <wp:cNvGraphicFramePr>
              <a:graphicFrameLocks noChangeAspect="1"/>
            </wp:cNvGraphicFramePr>
            <a:graphic>
              <a:graphicData uri="http://schemas.openxmlformats.org/drawingml/2006/picture">
                <pic:pic>
                  <pic:nvPicPr>
                    <pic:cNvPr id="0" name="slide_05.png"/>
                    <pic:cNvPicPr/>
                  </pic:nvPicPr>
                  <pic:blipFill>
                    <a:blip r:embed="rId12"/>
                    <a:stretch>
                      <a:fillRect/>
                    </a:stretch>
                  </pic:blipFill>
                  <pic:spPr>
                    <a:xfrm>
                      <a:off x="0" y="0"/>
                      <a:ext cx="5256000" cy="3878533"/>
                    </a:xfrm>
                    <a:prstGeom prst="rect"/>
                  </pic:spPr>
                </pic:pic>
              </a:graphicData>
            </a:graphic>
          </wp:inline>
        </w:drawing>
      </w:r>
    </w:p>
    <w:p>
      <w:pPr>
        <w:pStyle w:val="FigureCaption"/>
        <w:jc w:val="center"/>
      </w:pPr>
      <w:r>
        <w:t>Organisation générale de la paroi du tube digestif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reprend cette organisation histologique dans un schéma en coupe du tube digestif.</w:t>
            </w:r>
          </w:p>
        </w:tc>
      </w:tr>
    </w:tbl>
    <w:p>
      <w:pPr>
        <w:spacing w:after="20"/>
      </w:pPr>
    </w:p>
    <w:p>
      <w:r>
        <w:br w:type="page"/>
      </w:r>
    </w:p>
    <w:p>
      <w:pPr>
        <w:pStyle w:val="Heading1"/>
        <w:pBdr>
          <w:bottom w:val="single" w:sz="18" w:space="2" w:color="0B8FA3"/>
        </w:pBdr>
      </w:pPr>
      <w:r>
        <w:t>2. Étape buccale : mastication et salive</w:t>
      </w:r>
    </w:p>
    <w:p>
      <w:pPr>
        <w:pStyle w:val="Heading2"/>
      </w:pPr>
      <w:r>
        <w:t>2.1. Transformations mécaniques</w:t>
      </w:r>
    </w:p>
    <w:p>
      <w:r>
        <w:rPr>
          <w:rFonts w:ascii="Arial" w:hAnsi="Arial"/>
        </w:rPr>
        <w:t>Dans la bouche, les transformations mécaniques sont liées aux pressions exercées sur les aliments par les structures buccales.</w:t>
      </w:r>
    </w:p>
    <w:p>
      <w:pPr>
        <w:pStyle w:val="Heading3"/>
      </w:pPr>
      <w:r>
        <w:t>Les dents</w:t>
      </w:r>
    </w:p>
    <w:p>
      <w:r>
        <w:rPr>
          <w:rFonts w:ascii="Arial" w:hAnsi="Arial"/>
        </w:rPr>
        <w:t>L’adulte possède 32 dents adaptées à un régime omnivore. Chaque catégorie a une fonction dominante :</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Dents</w:t>
            </w:r>
          </w:p>
        </w:tc>
        <w:tc>
          <w:tcPr>
            <w:tcW w:type="dxa" w:w="1417"/>
            <w:shd w:fill="23405A"/>
            <w:vAlign w:val="center"/>
            <w:tcMar>
              <w:top w:w="80" w:type="dxa"/>
              <w:start w:w="80" w:type="dxa"/>
              <w:bottom w:w="80" w:type="dxa"/>
              <w:end w:w="80" w:type="dxa"/>
            </w:tcMar>
          </w:tcPr>
          <w:p>
            <w:pPr>
              <w:jc w:val="center"/>
            </w:pPr>
            <w:r>
              <w:rPr>
                <w:rFonts w:ascii="Arial" w:hAnsi="Arial"/>
                <w:b/>
                <w:color w:val="FFFFFF"/>
                <w:sz w:val="17"/>
              </w:rPr>
              <w:t>Nombre</w:t>
            </w:r>
          </w:p>
        </w:tc>
        <w:tc>
          <w:tcPr>
            <w:tcW w:type="dxa" w:w="4535"/>
            <w:shd w:fill="23405A"/>
            <w:vAlign w:val="center"/>
            <w:tcMar>
              <w:top w:w="80" w:type="dxa"/>
              <w:start w:w="80" w:type="dxa"/>
              <w:bottom w:w="80" w:type="dxa"/>
              <w:end w:w="80" w:type="dxa"/>
            </w:tcMar>
          </w:tcPr>
          <w:p>
            <w:pPr>
              <w:jc w:val="center"/>
            </w:pPr>
            <w:r>
              <w:rPr>
                <w:rFonts w:ascii="Arial" w:hAnsi="Arial"/>
                <w:b/>
                <w:color w:val="FFFFFF"/>
                <w:sz w:val="17"/>
              </w:rPr>
              <w:t>Rôle</w:t>
            </w:r>
          </w:p>
        </w:tc>
      </w:tr>
      <w:tr>
        <w:tc>
          <w:tcPr>
            <w:tcW w:type="dxa" w:w="2835"/>
            <w:shd w:fill="FFFFFF"/>
            <w:vAlign w:val="center"/>
            <w:tcMar>
              <w:top w:w="65" w:type="dxa"/>
              <w:start w:w="75" w:type="dxa"/>
              <w:bottom w:w="65" w:type="dxa"/>
              <w:end w:w="75" w:type="dxa"/>
            </w:tcMar>
          </w:tcPr>
          <w:p>
            <w:r>
              <w:rPr>
                <w:rFonts w:ascii="Arial" w:hAnsi="Arial"/>
                <w:sz w:val="17"/>
              </w:rPr>
              <w:t>Incisives</w:t>
            </w:r>
          </w:p>
        </w:tc>
        <w:tc>
          <w:tcPr>
            <w:tcW w:type="dxa" w:w="1417"/>
            <w:shd w:fill="FFFFFF"/>
            <w:vAlign w:val="center"/>
            <w:tcMar>
              <w:top w:w="65" w:type="dxa"/>
              <w:start w:w="75" w:type="dxa"/>
              <w:bottom w:w="65" w:type="dxa"/>
              <w:end w:w="75" w:type="dxa"/>
            </w:tcMar>
          </w:tcPr>
          <w:p>
            <w:r>
              <w:rPr>
                <w:rFonts w:ascii="Arial" w:hAnsi="Arial"/>
                <w:sz w:val="17"/>
              </w:rPr>
              <w:t>8</w:t>
            </w:r>
          </w:p>
        </w:tc>
        <w:tc>
          <w:tcPr>
            <w:tcW w:type="dxa" w:w="4535"/>
            <w:shd w:fill="FFFFFF"/>
            <w:vAlign w:val="center"/>
            <w:tcMar>
              <w:top w:w="65" w:type="dxa"/>
              <w:start w:w="75" w:type="dxa"/>
              <w:bottom w:w="65" w:type="dxa"/>
              <w:end w:w="75" w:type="dxa"/>
            </w:tcMar>
          </w:tcPr>
          <w:p>
            <w:r>
              <w:rPr>
                <w:rFonts w:ascii="Arial" w:hAnsi="Arial"/>
                <w:sz w:val="17"/>
              </w:rPr>
              <w:t>Couper</w:t>
            </w:r>
          </w:p>
        </w:tc>
      </w:tr>
      <w:tr>
        <w:tc>
          <w:tcPr>
            <w:tcW w:type="dxa" w:w="2835"/>
            <w:shd w:fill="F7F9FB"/>
            <w:vAlign w:val="center"/>
            <w:tcMar>
              <w:top w:w="65" w:type="dxa"/>
              <w:start w:w="75" w:type="dxa"/>
              <w:bottom w:w="65" w:type="dxa"/>
              <w:end w:w="75" w:type="dxa"/>
            </w:tcMar>
          </w:tcPr>
          <w:p>
            <w:r>
              <w:rPr>
                <w:rFonts w:ascii="Arial" w:hAnsi="Arial"/>
                <w:sz w:val="17"/>
              </w:rPr>
              <w:t>Canines</w:t>
            </w:r>
          </w:p>
        </w:tc>
        <w:tc>
          <w:tcPr>
            <w:tcW w:type="dxa" w:w="1417"/>
            <w:shd w:fill="F7F9FB"/>
            <w:vAlign w:val="center"/>
            <w:tcMar>
              <w:top w:w="65" w:type="dxa"/>
              <w:start w:w="75" w:type="dxa"/>
              <w:bottom w:w="65" w:type="dxa"/>
              <w:end w:w="75" w:type="dxa"/>
            </w:tcMar>
          </w:tcPr>
          <w:p>
            <w:r>
              <w:rPr>
                <w:rFonts w:ascii="Arial" w:hAnsi="Arial"/>
                <w:sz w:val="17"/>
              </w:rPr>
              <w:t>4</w:t>
            </w:r>
          </w:p>
        </w:tc>
        <w:tc>
          <w:tcPr>
            <w:tcW w:type="dxa" w:w="4535"/>
            <w:shd w:fill="F7F9FB"/>
            <w:vAlign w:val="center"/>
            <w:tcMar>
              <w:top w:w="65" w:type="dxa"/>
              <w:start w:w="75" w:type="dxa"/>
              <w:bottom w:w="65" w:type="dxa"/>
              <w:end w:w="75" w:type="dxa"/>
            </w:tcMar>
          </w:tcPr>
          <w:p>
            <w:r>
              <w:rPr>
                <w:rFonts w:ascii="Arial" w:hAnsi="Arial"/>
                <w:sz w:val="17"/>
              </w:rPr>
              <w:t>Déchirer</w:t>
            </w:r>
          </w:p>
        </w:tc>
      </w:tr>
      <w:tr>
        <w:tc>
          <w:tcPr>
            <w:tcW w:type="dxa" w:w="2835"/>
            <w:shd w:fill="FFFFFF"/>
            <w:vAlign w:val="center"/>
            <w:tcMar>
              <w:top w:w="65" w:type="dxa"/>
              <w:start w:w="75" w:type="dxa"/>
              <w:bottom w:w="65" w:type="dxa"/>
              <w:end w:w="75" w:type="dxa"/>
            </w:tcMar>
          </w:tcPr>
          <w:p>
            <w:r>
              <w:rPr>
                <w:rFonts w:ascii="Arial" w:hAnsi="Arial"/>
                <w:sz w:val="17"/>
              </w:rPr>
              <w:t>Prémolaires</w:t>
            </w:r>
          </w:p>
        </w:tc>
        <w:tc>
          <w:tcPr>
            <w:tcW w:type="dxa" w:w="1417"/>
            <w:shd w:fill="FFFFFF"/>
            <w:vAlign w:val="center"/>
            <w:tcMar>
              <w:top w:w="65" w:type="dxa"/>
              <w:start w:w="75" w:type="dxa"/>
              <w:bottom w:w="65" w:type="dxa"/>
              <w:end w:w="75" w:type="dxa"/>
            </w:tcMar>
          </w:tcPr>
          <w:p>
            <w:r>
              <w:rPr>
                <w:rFonts w:ascii="Arial" w:hAnsi="Arial"/>
                <w:sz w:val="17"/>
              </w:rPr>
              <w:t>8</w:t>
            </w:r>
          </w:p>
        </w:tc>
        <w:tc>
          <w:tcPr>
            <w:tcW w:type="dxa" w:w="4535"/>
            <w:shd w:fill="FFFFFF"/>
            <w:vAlign w:val="center"/>
            <w:tcMar>
              <w:top w:w="65" w:type="dxa"/>
              <w:start w:w="75" w:type="dxa"/>
              <w:bottom w:w="65" w:type="dxa"/>
              <w:end w:w="75" w:type="dxa"/>
            </w:tcMar>
          </w:tcPr>
          <w:p>
            <w:r>
              <w:rPr>
                <w:rFonts w:ascii="Arial" w:hAnsi="Arial"/>
                <w:sz w:val="17"/>
              </w:rPr>
              <w:t>Écraser</w:t>
            </w:r>
          </w:p>
        </w:tc>
      </w:tr>
      <w:tr>
        <w:tc>
          <w:tcPr>
            <w:tcW w:type="dxa" w:w="2835"/>
            <w:shd w:fill="F7F9FB"/>
            <w:vAlign w:val="center"/>
            <w:tcMar>
              <w:top w:w="65" w:type="dxa"/>
              <w:start w:w="75" w:type="dxa"/>
              <w:bottom w:w="65" w:type="dxa"/>
              <w:end w:w="75" w:type="dxa"/>
            </w:tcMar>
          </w:tcPr>
          <w:p>
            <w:r>
              <w:rPr>
                <w:rFonts w:ascii="Arial" w:hAnsi="Arial"/>
                <w:sz w:val="17"/>
              </w:rPr>
              <w:t>Molaires</w:t>
            </w:r>
          </w:p>
        </w:tc>
        <w:tc>
          <w:tcPr>
            <w:tcW w:type="dxa" w:w="1417"/>
            <w:shd w:fill="F7F9FB"/>
            <w:vAlign w:val="center"/>
            <w:tcMar>
              <w:top w:w="65" w:type="dxa"/>
              <w:start w:w="75" w:type="dxa"/>
              <w:bottom w:w="65" w:type="dxa"/>
              <w:end w:w="75" w:type="dxa"/>
            </w:tcMar>
          </w:tcPr>
          <w:p>
            <w:r>
              <w:rPr>
                <w:rFonts w:ascii="Arial" w:hAnsi="Arial"/>
                <w:sz w:val="17"/>
              </w:rPr>
              <w:t>12</w:t>
            </w:r>
          </w:p>
        </w:tc>
        <w:tc>
          <w:tcPr>
            <w:tcW w:type="dxa" w:w="4535"/>
            <w:shd w:fill="F7F9FB"/>
            <w:vAlign w:val="center"/>
            <w:tcMar>
              <w:top w:w="65" w:type="dxa"/>
              <w:start w:w="75" w:type="dxa"/>
              <w:bottom w:w="65" w:type="dxa"/>
              <w:end w:w="75" w:type="dxa"/>
            </w:tcMar>
          </w:tcPr>
          <w:p>
            <w:r>
              <w:rPr>
                <w:rFonts w:ascii="Arial" w:hAnsi="Arial"/>
                <w:sz w:val="17"/>
              </w:rPr>
              <w:t>Broyer</w:t>
            </w:r>
          </w:p>
        </w:tc>
      </w:tr>
    </w:tbl>
    <w:p>
      <w:pPr>
        <w:spacing w:after="20"/>
      </w:pPr>
    </w:p>
    <w:p>
      <w:pPr>
        <w:pStyle w:val="Heading3"/>
      </w:pPr>
      <w:r>
        <w:t>La langue</w:t>
      </w:r>
    </w:p>
    <w:p>
      <w:r>
        <w:rPr>
          <w:rFonts w:ascii="Arial" w:hAnsi="Arial"/>
        </w:rPr>
        <w:t>La langue est un organe composé de tissu musculaire strié, recouvert d’une muqueuse. Sa face supérieure porte des papilles contenant des récepteurs de la gustation. Elle joue un rôle important dans la mastication et la déglutition.</w:t>
      </w:r>
    </w:p>
    <w:p>
      <w:pPr>
        <w:jc w:val="center"/>
      </w:pPr>
      <w:r>
        <w:drawing>
          <wp:inline xmlns:a="http://schemas.openxmlformats.org/drawingml/2006/main" xmlns:pic="http://schemas.openxmlformats.org/drawingml/2006/picture">
            <wp:extent cx="5256000" cy="3849116"/>
            <wp:docPr id="3" name="Picture 3"/>
            <wp:cNvGraphicFramePr>
              <a:graphicFrameLocks noChangeAspect="1"/>
            </wp:cNvGraphicFramePr>
            <a:graphic>
              <a:graphicData uri="http://schemas.openxmlformats.org/drawingml/2006/picture">
                <pic:pic>
                  <pic:nvPicPr>
                    <pic:cNvPr id="0" name="slide_07.png"/>
                    <pic:cNvPicPr/>
                  </pic:nvPicPr>
                  <pic:blipFill>
                    <a:blip r:embed="rId13"/>
                    <a:stretch>
                      <a:fillRect/>
                    </a:stretch>
                  </pic:blipFill>
                  <pic:spPr>
                    <a:xfrm>
                      <a:off x="0" y="0"/>
                      <a:ext cx="5256000" cy="3849116"/>
                    </a:xfrm>
                    <a:prstGeom prst="rect"/>
                  </pic:spPr>
                </pic:pic>
              </a:graphicData>
            </a:graphic>
          </wp:inline>
        </w:drawing>
      </w:r>
    </w:p>
    <w:p>
      <w:pPr>
        <w:pStyle w:val="FigureCaption"/>
        <w:jc w:val="center"/>
      </w:pPr>
      <w:r>
        <w:t>Cavité buccale, dentition et langue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détaille visuellement la cavité buccale (palais, langue, dents) et la structure d’une dent (couronne, collet, racine, émail, dentine, pulpe).</w:t>
            </w:r>
          </w:p>
        </w:tc>
      </w:tr>
    </w:tbl>
    <w:p>
      <w:pPr>
        <w:spacing w:after="20"/>
      </w:pPr>
    </w:p>
    <w:p>
      <w:pPr>
        <w:pStyle w:val="Heading2"/>
      </w:pPr>
      <w:r>
        <w:t>2.2. Transformations chimiques : la salive</w:t>
      </w:r>
    </w:p>
    <w:p>
      <w:pPr>
        <w:pStyle w:val="Heading3"/>
      </w:pPr>
      <w:r>
        <w:t>Les glandes salivaires principales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Glande</w:t>
            </w:r>
          </w:p>
        </w:tc>
        <w:tc>
          <w:tcPr>
            <w:tcW w:type="dxa" w:w="2835"/>
            <w:shd w:fill="23405A"/>
            <w:vAlign w:val="center"/>
            <w:tcMar>
              <w:top w:w="80" w:type="dxa"/>
              <w:start w:w="80" w:type="dxa"/>
              <w:bottom w:w="80" w:type="dxa"/>
              <w:end w:w="80" w:type="dxa"/>
            </w:tcMar>
          </w:tcPr>
          <w:p>
            <w:pPr>
              <w:jc w:val="center"/>
            </w:pPr>
            <w:r>
              <w:rPr>
                <w:rFonts w:ascii="Arial" w:hAnsi="Arial"/>
                <w:b/>
                <w:color w:val="FFFFFF"/>
                <w:sz w:val="17"/>
              </w:rPr>
              <w:t>Part indiquée dans le diaporama</w:t>
            </w:r>
          </w:p>
        </w:tc>
        <w:tc>
          <w:tcPr>
            <w:tcW w:type="dxa" w:w="3402"/>
            <w:shd w:fill="23405A"/>
            <w:vAlign w:val="center"/>
            <w:tcMar>
              <w:top w:w="80" w:type="dxa"/>
              <w:start w:w="80" w:type="dxa"/>
              <w:bottom w:w="80" w:type="dxa"/>
              <w:end w:w="80" w:type="dxa"/>
            </w:tcMar>
          </w:tcPr>
          <w:p>
            <w:pPr>
              <w:jc w:val="center"/>
            </w:pPr>
            <w:r>
              <w:rPr>
                <w:rFonts w:ascii="Arial" w:hAnsi="Arial"/>
                <w:b/>
                <w:color w:val="FFFFFF"/>
                <w:sz w:val="17"/>
              </w:rPr>
              <w:t>Type de sécrétion</w:t>
            </w:r>
          </w:p>
        </w:tc>
      </w:tr>
      <w:tr>
        <w:tc>
          <w:tcPr>
            <w:tcW w:type="dxa" w:w="2835"/>
            <w:shd w:fill="FFFFFF"/>
            <w:vAlign w:val="center"/>
            <w:tcMar>
              <w:top w:w="65" w:type="dxa"/>
              <w:start w:w="75" w:type="dxa"/>
              <w:bottom w:w="65" w:type="dxa"/>
              <w:end w:w="75" w:type="dxa"/>
            </w:tcMar>
          </w:tcPr>
          <w:p>
            <w:r>
              <w:rPr>
                <w:rFonts w:ascii="Arial" w:hAnsi="Arial"/>
                <w:sz w:val="17"/>
              </w:rPr>
              <w:t>Parotide</w:t>
            </w:r>
          </w:p>
        </w:tc>
        <w:tc>
          <w:tcPr>
            <w:tcW w:type="dxa" w:w="2835"/>
            <w:shd w:fill="FFFFFF"/>
            <w:vAlign w:val="center"/>
            <w:tcMar>
              <w:top w:w="65" w:type="dxa"/>
              <w:start w:w="75" w:type="dxa"/>
              <w:bottom w:w="65" w:type="dxa"/>
              <w:end w:w="75" w:type="dxa"/>
            </w:tcMar>
          </w:tcPr>
          <w:p>
            <w:r>
              <w:rPr>
                <w:rFonts w:ascii="Arial" w:hAnsi="Arial"/>
                <w:sz w:val="17"/>
              </w:rPr>
              <w:t>25 %</w:t>
            </w:r>
          </w:p>
        </w:tc>
        <w:tc>
          <w:tcPr>
            <w:tcW w:type="dxa" w:w="3402"/>
            <w:shd w:fill="FFFFFF"/>
            <w:vAlign w:val="center"/>
            <w:tcMar>
              <w:top w:w="65" w:type="dxa"/>
              <w:start w:w="75" w:type="dxa"/>
              <w:bottom w:w="65" w:type="dxa"/>
              <w:end w:w="75" w:type="dxa"/>
            </w:tcMar>
          </w:tcPr>
          <w:p>
            <w:r>
              <w:rPr>
                <w:rFonts w:ascii="Arial" w:hAnsi="Arial"/>
                <w:sz w:val="17"/>
              </w:rPr>
              <w:t>Séreuse</w:t>
            </w:r>
          </w:p>
        </w:tc>
      </w:tr>
      <w:tr>
        <w:tc>
          <w:tcPr>
            <w:tcW w:type="dxa" w:w="2835"/>
            <w:shd w:fill="F7F9FB"/>
            <w:vAlign w:val="center"/>
            <w:tcMar>
              <w:top w:w="65" w:type="dxa"/>
              <w:start w:w="75" w:type="dxa"/>
              <w:bottom w:w="65" w:type="dxa"/>
              <w:end w:w="75" w:type="dxa"/>
            </w:tcMar>
          </w:tcPr>
          <w:p>
            <w:r>
              <w:rPr>
                <w:rFonts w:ascii="Arial" w:hAnsi="Arial"/>
                <w:sz w:val="17"/>
              </w:rPr>
              <w:t>Sous-maxillaire</w:t>
            </w:r>
          </w:p>
        </w:tc>
        <w:tc>
          <w:tcPr>
            <w:tcW w:type="dxa" w:w="2835"/>
            <w:shd w:fill="F7F9FB"/>
            <w:vAlign w:val="center"/>
            <w:tcMar>
              <w:top w:w="65" w:type="dxa"/>
              <w:start w:w="75" w:type="dxa"/>
              <w:bottom w:w="65" w:type="dxa"/>
              <w:end w:w="75" w:type="dxa"/>
            </w:tcMar>
          </w:tcPr>
          <w:p>
            <w:r>
              <w:rPr>
                <w:rFonts w:ascii="Arial" w:hAnsi="Arial"/>
                <w:sz w:val="17"/>
              </w:rPr>
              <w:t>70 %</w:t>
            </w:r>
          </w:p>
        </w:tc>
        <w:tc>
          <w:tcPr>
            <w:tcW w:type="dxa" w:w="3402"/>
            <w:shd w:fill="F7F9FB"/>
            <w:vAlign w:val="center"/>
            <w:tcMar>
              <w:top w:w="65" w:type="dxa"/>
              <w:start w:w="75" w:type="dxa"/>
              <w:bottom w:w="65" w:type="dxa"/>
              <w:end w:w="75" w:type="dxa"/>
            </w:tcMar>
          </w:tcPr>
          <w:p>
            <w:r>
              <w:rPr>
                <w:rFonts w:ascii="Arial" w:hAnsi="Arial"/>
                <w:sz w:val="17"/>
              </w:rPr>
              <w:t>Séro-muqueuse</w:t>
            </w:r>
          </w:p>
        </w:tc>
      </w:tr>
      <w:tr>
        <w:tc>
          <w:tcPr>
            <w:tcW w:type="dxa" w:w="2835"/>
            <w:shd w:fill="FFFFFF"/>
            <w:vAlign w:val="center"/>
            <w:tcMar>
              <w:top w:w="65" w:type="dxa"/>
              <w:start w:w="75" w:type="dxa"/>
              <w:bottom w:w="65" w:type="dxa"/>
              <w:end w:w="75" w:type="dxa"/>
            </w:tcMar>
          </w:tcPr>
          <w:p>
            <w:r>
              <w:rPr>
                <w:rFonts w:ascii="Arial" w:hAnsi="Arial"/>
                <w:sz w:val="17"/>
              </w:rPr>
              <w:t>Sublinguale</w:t>
            </w:r>
          </w:p>
        </w:tc>
        <w:tc>
          <w:tcPr>
            <w:tcW w:type="dxa" w:w="2835"/>
            <w:shd w:fill="FFFFFF"/>
            <w:vAlign w:val="center"/>
            <w:tcMar>
              <w:top w:w="65" w:type="dxa"/>
              <w:start w:w="75" w:type="dxa"/>
              <w:bottom w:w="65" w:type="dxa"/>
              <w:end w:w="75" w:type="dxa"/>
            </w:tcMar>
          </w:tcPr>
          <w:p>
            <w:r>
              <w:rPr>
                <w:rFonts w:ascii="Arial" w:hAnsi="Arial"/>
                <w:sz w:val="17"/>
              </w:rPr>
              <w:t>5 %</w:t>
            </w:r>
          </w:p>
        </w:tc>
        <w:tc>
          <w:tcPr>
            <w:tcW w:type="dxa" w:w="3402"/>
            <w:shd w:fill="FFFFFF"/>
            <w:vAlign w:val="center"/>
            <w:tcMar>
              <w:top w:w="65" w:type="dxa"/>
              <w:start w:w="75" w:type="dxa"/>
              <w:bottom w:w="65" w:type="dxa"/>
              <w:end w:w="75" w:type="dxa"/>
            </w:tcMar>
          </w:tcPr>
          <w:p>
            <w:r>
              <w:rPr>
                <w:rFonts w:ascii="Arial" w:hAnsi="Arial"/>
                <w:sz w:val="17"/>
              </w:rPr>
              <w:t>Muqueuse</w:t>
            </w:r>
          </w:p>
        </w:tc>
      </w:tr>
    </w:tbl>
    <w:p>
      <w:pPr>
        <w:spacing w:after="20"/>
      </w:pPr>
    </w:p>
    <w:p>
      <w:r>
        <w:rPr>
          <w:rFonts w:ascii="Arial" w:hAnsi="Arial"/>
        </w:rPr>
        <w:t>Les cellules des glandes salivaires sont organisées en petits îlots autour d’une lumière reliée au canal évacuateur : l’acinus glandulaire.</w:t>
      </w:r>
    </w:p>
    <w:p>
      <w:pPr>
        <w:pStyle w:val="ListBullet"/>
        <w:spacing w:after="30"/>
        <w:ind w:left="198" w:hanging="102"/>
      </w:pPr>
      <w:r>
        <w:rPr>
          <w:rFonts w:ascii="Arial" w:hAnsi="Arial"/>
        </w:rPr>
        <w:t>Cellules acineuses séreuses : produisent un liquide fluide riche en enzymes.</w:t>
      </w:r>
    </w:p>
    <w:p>
      <w:pPr>
        <w:pStyle w:val="ListBullet"/>
        <w:spacing w:after="30"/>
        <w:ind w:left="198" w:hanging="102"/>
      </w:pPr>
      <w:r>
        <w:rPr>
          <w:rFonts w:ascii="Arial" w:hAnsi="Arial"/>
        </w:rPr>
        <w:t>Cellules acineuses muqueuses : produisent un mucus visqueux et épais, riche en mucines.</w:t>
      </w:r>
    </w:p>
    <w:p>
      <w:r>
        <w:rPr>
          <w:rFonts w:ascii="Arial" w:hAnsi="Arial"/>
        </w:rPr>
        <w:t>Il existe aussi de nombreuses glandes salivaires accessoires microscopiques, disséminées sous la muqueuse de la bouche, assurant une sécrétion continue qui maintient la bouche humide.</w:t>
      </w:r>
    </w:p>
    <w:p>
      <w:pPr>
        <w:pStyle w:val="Heading3"/>
      </w:pPr>
      <w:r>
        <w:t>Composition et fonctions de la salive</w:t>
      </w: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Repère chiffré</w:t>
            </w:r>
          </w:p>
          <w:p>
            <w:pPr>
              <w:spacing w:after="20"/>
            </w:pPr>
            <w:r>
              <w:rPr>
                <w:rFonts w:ascii="Arial" w:hAnsi="Arial"/>
                <w:sz w:val="18"/>
              </w:rPr>
              <w:t>Le diaporama indique une production de 1 à 2 litres de salive par jour.</w:t>
            </w:r>
          </w:p>
        </w:tc>
      </w:tr>
    </w:tbl>
    <w:p>
      <w:pPr>
        <w:spacing w:after="20"/>
      </w:pPr>
    </w:p>
    <w:p>
      <w:pPr>
        <w:pStyle w:val="ListBullet"/>
        <w:spacing w:after="30"/>
        <w:ind w:left="198" w:hanging="102"/>
      </w:pPr>
      <w:r>
        <w:rPr>
          <w:rFonts w:ascii="Arial" w:hAnsi="Arial"/>
        </w:rPr>
        <w:t>Lubrification de la cavité buccale et de l’œsophage.</w:t>
      </w:r>
    </w:p>
    <w:p>
      <w:pPr>
        <w:pStyle w:val="ListBullet"/>
        <w:spacing w:after="30"/>
        <w:ind w:left="198" w:hanging="102"/>
      </w:pPr>
      <w:r>
        <w:rPr>
          <w:rFonts w:ascii="Arial" w:hAnsi="Arial"/>
        </w:rPr>
        <w:t>Solubilisation des particules alimentaires.</w:t>
      </w:r>
    </w:p>
    <w:p>
      <w:pPr>
        <w:pStyle w:val="ListBullet"/>
        <w:spacing w:after="30"/>
        <w:ind w:left="198" w:hanging="102"/>
      </w:pPr>
      <w:r>
        <w:rPr>
          <w:rFonts w:ascii="Arial" w:hAnsi="Arial"/>
        </w:rPr>
        <w:t>Activité enzymatique.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Élément</w:t>
            </w:r>
          </w:p>
        </w:tc>
        <w:tc>
          <w:tcPr>
            <w:tcW w:type="dxa" w:w="6236"/>
            <w:shd w:fill="23405A"/>
            <w:vAlign w:val="center"/>
            <w:tcMar>
              <w:top w:w="80" w:type="dxa"/>
              <w:start w:w="80" w:type="dxa"/>
              <w:bottom w:w="80" w:type="dxa"/>
              <w:end w:w="80" w:type="dxa"/>
            </w:tcMar>
          </w:tcPr>
          <w:p>
            <w:pPr>
              <w:jc w:val="center"/>
            </w:pPr>
            <w:r>
              <w:rPr>
                <w:rFonts w:ascii="Arial" w:hAnsi="Arial"/>
                <w:b/>
                <w:color w:val="FFFFFF"/>
                <w:sz w:val="17"/>
              </w:rPr>
              <w:t>Action indiquée dans le cours</w:t>
            </w:r>
          </w:p>
        </w:tc>
      </w:tr>
      <w:tr>
        <w:tc>
          <w:tcPr>
            <w:tcW w:type="dxa" w:w="2835"/>
            <w:shd w:fill="FFFFFF"/>
            <w:vAlign w:val="center"/>
            <w:tcMar>
              <w:top w:w="65" w:type="dxa"/>
              <w:start w:w="75" w:type="dxa"/>
              <w:bottom w:w="65" w:type="dxa"/>
              <w:end w:w="75" w:type="dxa"/>
            </w:tcMar>
          </w:tcPr>
          <w:p>
            <w:r>
              <w:rPr>
                <w:rFonts w:ascii="Arial" w:hAnsi="Arial"/>
                <w:sz w:val="17"/>
              </w:rPr>
              <w:t>α-amylase salivaire</w:t>
            </w:r>
          </w:p>
        </w:tc>
        <w:tc>
          <w:tcPr>
            <w:tcW w:type="dxa" w:w="6236"/>
            <w:shd w:fill="FFFFFF"/>
            <w:vAlign w:val="center"/>
            <w:tcMar>
              <w:top w:w="65" w:type="dxa"/>
              <w:start w:w="75" w:type="dxa"/>
              <w:bottom w:w="65" w:type="dxa"/>
              <w:end w:w="75" w:type="dxa"/>
            </w:tcMar>
          </w:tcPr>
          <w:p>
            <w:r>
              <w:rPr>
                <w:rFonts w:ascii="Arial" w:hAnsi="Arial"/>
                <w:sz w:val="17"/>
              </w:rPr>
              <w:t>Hydrolase qui dégrade l’amidon en mono- ou disaccharides ; agit à pH neutre.</w:t>
            </w:r>
          </w:p>
        </w:tc>
      </w:tr>
      <w:tr>
        <w:tc>
          <w:tcPr>
            <w:tcW w:type="dxa" w:w="2835"/>
            <w:shd w:fill="F7F9FB"/>
            <w:vAlign w:val="center"/>
            <w:tcMar>
              <w:top w:w="65" w:type="dxa"/>
              <w:start w:w="75" w:type="dxa"/>
              <w:bottom w:w="65" w:type="dxa"/>
              <w:end w:w="75" w:type="dxa"/>
            </w:tcMar>
          </w:tcPr>
          <w:p>
            <w:r>
              <w:rPr>
                <w:rFonts w:ascii="Arial" w:hAnsi="Arial"/>
                <w:sz w:val="17"/>
              </w:rPr>
              <w:t>Lysozyme</w:t>
            </w:r>
          </w:p>
        </w:tc>
        <w:tc>
          <w:tcPr>
            <w:tcW w:type="dxa" w:w="6236"/>
            <w:shd w:fill="F7F9FB"/>
            <w:vAlign w:val="center"/>
            <w:tcMar>
              <w:top w:w="65" w:type="dxa"/>
              <w:start w:w="75" w:type="dxa"/>
              <w:bottom w:w="65" w:type="dxa"/>
              <w:end w:w="75" w:type="dxa"/>
            </w:tcMar>
          </w:tcPr>
          <w:p>
            <w:r>
              <w:rPr>
                <w:rFonts w:ascii="Arial" w:hAnsi="Arial"/>
                <w:sz w:val="17"/>
              </w:rPr>
              <w:t>Enzyme/protéine qui dégrade les bactéries ; rôle antiseptique de la cavité buccale.</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EAF4F8"/>
            <w:tcBorders>
              <w:top w:val="nil"/>
              <w:left w:val="single" w:sz="22" w:color="356D9A"/>
              <w:bottom w:val="nil"/>
              <w:right w:val="nil"/>
            </w:tcBorders>
            <w:tcMar>
              <w:top w:w="90" w:type="dxa"/>
              <w:start w:w="130" w:type="dxa"/>
              <w:bottom w:w="90" w:type="dxa"/>
              <w:end w:w="130" w:type="dxa"/>
            </w:tcMar>
          </w:tcPr>
          <w:p>
            <w:pPr>
              <w:spacing w:after="40"/>
            </w:pPr>
            <w:r>
              <w:rPr>
                <w:rFonts w:ascii="Arial" w:hAnsi="Arial"/>
                <w:b/>
                <w:color w:val="356D9A"/>
                <w:sz w:val="20"/>
              </w:rPr>
              <w:t>Contrôle nerveux</w:t>
            </w:r>
          </w:p>
          <w:p>
            <w:pPr>
              <w:spacing w:after="20"/>
            </w:pPr>
            <w:r>
              <w:rPr>
                <w:rFonts w:ascii="Arial" w:hAnsi="Arial"/>
                <w:sz w:val="18"/>
              </w:rPr>
              <w:t>La sécrétion salivaire est un réflexe sous le contrôle du système nerveux autonome, impliquant les systèmes parasympathique et sympathique.</w:t>
            </w:r>
          </w:p>
        </w:tc>
      </w:tr>
    </w:tbl>
    <w:p>
      <w:pPr>
        <w:spacing w:after="20"/>
      </w:pPr>
    </w:p>
    <w:p>
      <w:r>
        <w:br w:type="page"/>
      </w:r>
    </w:p>
    <w:p>
      <w:pPr>
        <w:pStyle w:val="Heading1"/>
        <w:pBdr>
          <w:bottom w:val="single" w:sz="18" w:space="2" w:color="0B8FA3"/>
        </w:pBdr>
      </w:pPr>
      <w:r>
        <w:t>3. Étape œsophagienne : déglutition et péristaltisme</w:t>
      </w:r>
    </w:p>
    <w:p>
      <w:pPr>
        <w:pStyle w:val="Heading2"/>
      </w:pPr>
      <w:r>
        <w:t>3.1. De la bouche à l’œsophage</w:t>
      </w:r>
    </w:p>
    <w:p>
      <w:r>
        <w:rPr>
          <w:rFonts w:ascii="Arial" w:hAnsi="Arial"/>
        </w:rPr>
        <w:t>L’étape œsophagienne comprend la déglutition, c’est-à-dire le passage de la cavité buccale vers l’œsophage, puis le transport du bol alimentaire vers l’estomac.</w:t>
      </w:r>
    </w:p>
    <w:p>
      <w:pPr>
        <w:pStyle w:val="Heading3"/>
      </w:pPr>
      <w:r>
        <w:t>Le pharynx</w:t>
      </w:r>
    </w:p>
    <w:p>
      <w:r>
        <w:rPr>
          <w:rFonts w:ascii="Arial" w:hAnsi="Arial"/>
        </w:rPr>
        <w:t>Le pharynx, situé au fond de la cavité buccale, constitue un carrefour entre les voies digestives et les voies respiratoires.</w:t>
      </w:r>
    </w:p>
    <w:p>
      <w:pPr>
        <w:pStyle w:val="Heading3"/>
      </w:pPr>
      <w:r>
        <w:t>La déglutition</w:t>
      </w:r>
    </w:p>
    <w:p>
      <w:r>
        <w:rPr>
          <w:rFonts w:ascii="Arial" w:hAnsi="Arial"/>
        </w:rPr>
        <w:t>La déglutition est une succession de mécanismes permettant au bol alimentaire de se diriger vers l’œsophage et non vers les voies respiratoires.</w:t>
      </w:r>
    </w:p>
    <w:p>
      <w:pPr>
        <w:jc w:val="center"/>
      </w:pPr>
      <w:r>
        <w:drawing>
          <wp:inline xmlns:a="http://schemas.openxmlformats.org/drawingml/2006/main" xmlns:pic="http://schemas.openxmlformats.org/drawingml/2006/picture">
            <wp:extent cx="5220000" cy="3697714"/>
            <wp:docPr id="4" name="Picture 4"/>
            <wp:cNvGraphicFramePr>
              <a:graphicFrameLocks noChangeAspect="1"/>
            </wp:cNvGraphicFramePr>
            <a:graphic>
              <a:graphicData uri="http://schemas.openxmlformats.org/drawingml/2006/picture">
                <pic:pic>
                  <pic:nvPicPr>
                    <pic:cNvPr id="0" name="slide_17.png"/>
                    <pic:cNvPicPr/>
                  </pic:nvPicPr>
                  <pic:blipFill>
                    <a:blip r:embed="rId14"/>
                    <a:stretch>
                      <a:fillRect/>
                    </a:stretch>
                  </pic:blipFill>
                  <pic:spPr>
                    <a:xfrm>
                      <a:off x="0" y="0"/>
                      <a:ext cx="5220000" cy="3697714"/>
                    </a:xfrm>
                    <a:prstGeom prst="rect"/>
                  </pic:spPr>
                </pic:pic>
              </a:graphicData>
            </a:graphic>
          </wp:inline>
        </w:drawing>
      </w:r>
    </w:p>
    <w:p>
      <w:pPr>
        <w:pStyle w:val="FigureCaption"/>
        <w:jc w:val="center"/>
      </w:pPr>
      <w:r>
        <w:t>Mécanismes successifs de la déglutition et protection des voies respiratoires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illustre également la déglutition en plusieurs temps et le rôle des structures qui orientent le bol alimentaire vers l’œsophage.</w:t>
            </w:r>
          </w:p>
        </w:tc>
      </w:tr>
    </w:tbl>
    <w:p>
      <w:pPr>
        <w:spacing w:after="20"/>
      </w:pPr>
    </w:p>
    <w:p>
      <w:pPr>
        <w:pStyle w:val="Heading2"/>
      </w:pPr>
      <w:r>
        <w:t>3.2. Péristaltisme de l’œsophage</w:t>
      </w: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Définition</w:t>
            </w:r>
          </w:p>
          <w:p>
            <w:pPr>
              <w:spacing w:after="20"/>
            </w:pPr>
            <w:r>
              <w:rPr>
                <w:rFonts w:ascii="Arial" w:hAnsi="Arial"/>
                <w:sz w:val="18"/>
              </w:rPr>
              <w:t>Le péristaltisme correspond à un ensemble de contractions involontaires qui font avancer le contenu d’un organe creux.</w:t>
            </w:r>
          </w:p>
        </w:tc>
      </w:tr>
    </w:tbl>
    <w:p>
      <w:pPr>
        <w:spacing w:after="20"/>
      </w:pPr>
    </w:p>
    <w:p>
      <w:r>
        <w:rPr>
          <w:rFonts w:ascii="Arial" w:hAnsi="Arial"/>
        </w:rPr>
        <w:t>Dans l’œsophage, ces ondes musculaires assurent la progression du bol alimentaire jusqu’à l’estomac.</w:t>
      </w:r>
    </w:p>
    <w:p>
      <w:r>
        <w:br w:type="page"/>
      </w:r>
    </w:p>
    <w:p>
      <w:pPr>
        <w:pStyle w:val="Heading1"/>
        <w:pBdr>
          <w:bottom w:val="single" w:sz="18" w:space="2" w:color="0B8FA3"/>
        </w:pBdr>
      </w:pPr>
      <w:r>
        <w:t>4. Étape gastrique : estomac et suc gastrique</w:t>
      </w:r>
    </w:p>
    <w:p>
      <w:pPr>
        <w:pStyle w:val="Heading2"/>
      </w:pPr>
      <w:r>
        <w:t>4.1. Structure de l’estomac</w:t>
      </w:r>
    </w:p>
    <w:p>
      <w:r>
        <w:rPr>
          <w:rFonts w:ascii="Arial" w:hAnsi="Arial"/>
        </w:rPr>
        <w:t>Le diaporama repère notamment le cardia, le fundus, le corps, l’antre et le pylore. Deux zones sphinctériennes sont mises en évidence : le sphincter inférieur de l’œsophage (SOI) et le sphincter pylorique.</w:t>
      </w:r>
    </w:p>
    <w:p>
      <w:pPr>
        <w:jc w:val="center"/>
      </w:pPr>
      <w:r>
        <w:drawing>
          <wp:inline xmlns:a="http://schemas.openxmlformats.org/drawingml/2006/main" xmlns:pic="http://schemas.openxmlformats.org/drawingml/2006/picture">
            <wp:extent cx="5148000" cy="3646892"/>
            <wp:docPr id="5" name="Picture 5"/>
            <wp:cNvGraphicFramePr>
              <a:graphicFrameLocks noChangeAspect="1"/>
            </wp:cNvGraphicFramePr>
            <a:graphic>
              <a:graphicData uri="http://schemas.openxmlformats.org/drawingml/2006/picture">
                <pic:pic>
                  <pic:nvPicPr>
                    <pic:cNvPr id="0" name="slide_19.png"/>
                    <pic:cNvPicPr/>
                  </pic:nvPicPr>
                  <pic:blipFill>
                    <a:blip r:embed="rId15"/>
                    <a:stretch>
                      <a:fillRect/>
                    </a:stretch>
                  </pic:blipFill>
                  <pic:spPr>
                    <a:xfrm>
                      <a:off x="0" y="0"/>
                      <a:ext cx="5148000" cy="3646892"/>
                    </a:xfrm>
                    <a:prstGeom prst="rect"/>
                  </pic:spPr>
                </pic:pic>
              </a:graphicData>
            </a:graphic>
          </wp:inline>
        </w:drawing>
      </w:r>
    </w:p>
    <w:p>
      <w:pPr>
        <w:pStyle w:val="FigureCaption"/>
        <w:jc w:val="center"/>
      </w:pPr>
      <w:r>
        <w:t>Principales régions de l’estomac et zones sphinctériennes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reprend les principales parties de l’estomac et montre sa paroi musculaire sur un schéma anatomique.</w:t>
            </w:r>
          </w:p>
        </w:tc>
      </w:tr>
    </w:tbl>
    <w:p>
      <w:pPr>
        <w:spacing w:after="20"/>
      </w:pPr>
    </w:p>
    <w:p>
      <w:pPr>
        <w:pStyle w:val="Heading2"/>
      </w:pPr>
      <w:r>
        <w:t>4.2. Cellules de la muqueuse gastrique</w:t>
      </w:r>
    </w:p>
    <w:p>
      <w:r>
        <w:rPr>
          <w:rFonts w:ascii="Arial" w:hAnsi="Arial"/>
        </w:rPr>
        <w:t>Les glandes en puits de la muqueuse gastrique sont des glandes exocrines : elles déversent le suc gastrique dans l’estomac.</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551"/>
            <w:shd w:fill="23405A"/>
            <w:vAlign w:val="center"/>
            <w:tcMar>
              <w:top w:w="80" w:type="dxa"/>
              <w:start w:w="80" w:type="dxa"/>
              <w:bottom w:w="80" w:type="dxa"/>
              <w:end w:w="80" w:type="dxa"/>
            </w:tcMar>
          </w:tcPr>
          <w:p>
            <w:pPr>
              <w:jc w:val="center"/>
            </w:pPr>
            <w:r>
              <w:rPr>
                <w:rFonts w:ascii="Arial" w:hAnsi="Arial"/>
                <w:b/>
                <w:color w:val="FFFFFF"/>
                <w:sz w:val="16"/>
              </w:rPr>
              <w:t>Type cellulaire</w:t>
            </w:r>
          </w:p>
        </w:tc>
        <w:tc>
          <w:tcPr>
            <w:tcW w:type="dxa" w:w="6520"/>
            <w:shd w:fill="23405A"/>
            <w:vAlign w:val="center"/>
            <w:tcMar>
              <w:top w:w="80" w:type="dxa"/>
              <w:start w:w="80" w:type="dxa"/>
              <w:bottom w:w="80" w:type="dxa"/>
              <w:end w:w="80" w:type="dxa"/>
            </w:tcMar>
          </w:tcPr>
          <w:p>
            <w:pPr>
              <w:jc w:val="center"/>
            </w:pPr>
            <w:r>
              <w:rPr>
                <w:rFonts w:ascii="Arial" w:hAnsi="Arial"/>
                <w:b/>
                <w:color w:val="FFFFFF"/>
                <w:sz w:val="16"/>
              </w:rPr>
              <w:t>Sécrétion / rôle</w:t>
            </w:r>
          </w:p>
        </w:tc>
      </w:tr>
      <w:tr>
        <w:tc>
          <w:tcPr>
            <w:tcW w:type="dxa" w:w="2551"/>
            <w:shd w:fill="FFFFFF"/>
            <w:vAlign w:val="center"/>
            <w:tcMar>
              <w:top w:w="65" w:type="dxa"/>
              <w:start w:w="75" w:type="dxa"/>
              <w:bottom w:w="65" w:type="dxa"/>
              <w:end w:w="75" w:type="dxa"/>
            </w:tcMar>
          </w:tcPr>
          <w:p>
            <w:r>
              <w:rPr>
                <w:rFonts w:ascii="Arial" w:hAnsi="Arial"/>
                <w:sz w:val="16"/>
              </w:rPr>
              <w:t>Cellules à mucus</w:t>
            </w:r>
          </w:p>
        </w:tc>
        <w:tc>
          <w:tcPr>
            <w:tcW w:type="dxa" w:w="6520"/>
            <w:shd w:fill="FFFFFF"/>
            <w:vAlign w:val="center"/>
            <w:tcMar>
              <w:top w:w="65" w:type="dxa"/>
              <w:start w:w="75" w:type="dxa"/>
              <w:bottom w:w="65" w:type="dxa"/>
              <w:end w:w="75" w:type="dxa"/>
            </w:tcMar>
          </w:tcPr>
          <w:p>
            <w:r>
              <w:rPr>
                <w:rFonts w:ascii="Arial" w:hAnsi="Arial"/>
                <w:sz w:val="16"/>
              </w:rPr>
              <w:t>Mucus sous forme de gel qui protège la muqueuse de l’acidité et des enzymes.</w:t>
            </w:r>
          </w:p>
        </w:tc>
      </w:tr>
      <w:tr>
        <w:tc>
          <w:tcPr>
            <w:tcW w:type="dxa" w:w="2551"/>
            <w:shd w:fill="F7F9FB"/>
            <w:vAlign w:val="center"/>
            <w:tcMar>
              <w:top w:w="65" w:type="dxa"/>
              <w:start w:w="75" w:type="dxa"/>
              <w:bottom w:w="65" w:type="dxa"/>
              <w:end w:w="75" w:type="dxa"/>
            </w:tcMar>
          </w:tcPr>
          <w:p>
            <w:r>
              <w:rPr>
                <w:rFonts w:ascii="Arial" w:hAnsi="Arial"/>
                <w:sz w:val="16"/>
              </w:rPr>
              <w:t>Cellules pariétales</w:t>
            </w:r>
          </w:p>
        </w:tc>
        <w:tc>
          <w:tcPr>
            <w:tcW w:type="dxa" w:w="6520"/>
            <w:shd w:fill="F7F9FB"/>
            <w:vAlign w:val="center"/>
            <w:tcMar>
              <w:top w:w="65" w:type="dxa"/>
              <w:start w:w="75" w:type="dxa"/>
              <w:bottom w:w="65" w:type="dxa"/>
              <w:end w:w="75" w:type="dxa"/>
            </w:tcMar>
          </w:tcPr>
          <w:p>
            <w:r>
              <w:rPr>
                <w:rFonts w:ascii="Arial" w:hAnsi="Arial"/>
                <w:sz w:val="16"/>
              </w:rPr>
              <w:t>HCl : pH gastrique 1,5 à 3,5 ; désinfection ; activation de la pepsine ; signal de l’arrivée du bol à l’intestin. Sécrétion du facteur intrinsèque, nécessaire à l’absorption de la vitamine B12.</w:t>
            </w:r>
          </w:p>
        </w:tc>
      </w:tr>
      <w:tr>
        <w:tc>
          <w:tcPr>
            <w:tcW w:type="dxa" w:w="2551"/>
            <w:shd w:fill="FFFFFF"/>
            <w:vAlign w:val="center"/>
            <w:tcMar>
              <w:top w:w="65" w:type="dxa"/>
              <w:start w:w="75" w:type="dxa"/>
              <w:bottom w:w="65" w:type="dxa"/>
              <w:end w:w="75" w:type="dxa"/>
            </w:tcMar>
          </w:tcPr>
          <w:p>
            <w:r>
              <w:rPr>
                <w:rFonts w:ascii="Arial" w:hAnsi="Arial"/>
                <w:sz w:val="16"/>
              </w:rPr>
              <w:t>Cellules principales</w:t>
            </w:r>
          </w:p>
        </w:tc>
        <w:tc>
          <w:tcPr>
            <w:tcW w:type="dxa" w:w="6520"/>
            <w:shd w:fill="FFFFFF"/>
            <w:vAlign w:val="center"/>
            <w:tcMar>
              <w:top w:w="65" w:type="dxa"/>
              <w:start w:w="75" w:type="dxa"/>
              <w:bottom w:w="65" w:type="dxa"/>
              <w:end w:w="75" w:type="dxa"/>
            </w:tcMar>
          </w:tcPr>
          <w:p>
            <w:r>
              <w:rPr>
                <w:rFonts w:ascii="Arial" w:hAnsi="Arial"/>
                <w:sz w:val="16"/>
              </w:rPr>
              <w:t>Pepsinogène transformé en pepsine par HCl ; la pepsine coupe les protéines en petits peptides.</w:t>
            </w:r>
          </w:p>
        </w:tc>
      </w:tr>
      <w:tr>
        <w:tc>
          <w:tcPr>
            <w:tcW w:type="dxa" w:w="2551"/>
            <w:shd w:fill="F7F9FB"/>
            <w:vAlign w:val="center"/>
            <w:tcMar>
              <w:top w:w="65" w:type="dxa"/>
              <w:start w:w="75" w:type="dxa"/>
              <w:bottom w:w="65" w:type="dxa"/>
              <w:end w:w="75" w:type="dxa"/>
            </w:tcMar>
          </w:tcPr>
          <w:p>
            <w:r>
              <w:rPr>
                <w:rFonts w:ascii="Arial" w:hAnsi="Arial"/>
                <w:sz w:val="16"/>
              </w:rPr>
              <w:t>Cellules G</w:t>
            </w:r>
          </w:p>
        </w:tc>
        <w:tc>
          <w:tcPr>
            <w:tcW w:type="dxa" w:w="6520"/>
            <w:shd w:fill="F7F9FB"/>
            <w:vAlign w:val="center"/>
            <w:tcMar>
              <w:top w:w="65" w:type="dxa"/>
              <w:start w:w="75" w:type="dxa"/>
              <w:bottom w:w="65" w:type="dxa"/>
              <w:end w:w="75" w:type="dxa"/>
            </w:tcMar>
          </w:tcPr>
          <w:p>
            <w:r>
              <w:rPr>
                <w:rFonts w:ascii="Arial" w:hAnsi="Arial"/>
                <w:sz w:val="16"/>
              </w:rPr>
              <w:t>Cellules endocrines produisant la gastrine, qui stimule les muscles de l’estomac.</w:t>
            </w:r>
          </w:p>
        </w:tc>
      </w:tr>
    </w:tbl>
    <w:p>
      <w:pPr>
        <w:spacing w:after="20"/>
      </w:pPr>
    </w:p>
    <w:p>
      <w:pPr>
        <w:jc w:val="center"/>
      </w:pPr>
      <w:r>
        <w:drawing>
          <wp:inline xmlns:a="http://schemas.openxmlformats.org/drawingml/2006/main" xmlns:pic="http://schemas.openxmlformats.org/drawingml/2006/picture">
            <wp:extent cx="5040000" cy="3905435"/>
            <wp:docPr id="6" name="Picture 6"/>
            <wp:cNvGraphicFramePr>
              <a:graphicFrameLocks noChangeAspect="1"/>
            </wp:cNvGraphicFramePr>
            <a:graphic>
              <a:graphicData uri="http://schemas.openxmlformats.org/drawingml/2006/picture">
                <pic:pic>
                  <pic:nvPicPr>
                    <pic:cNvPr id="0" name="slide_21.png"/>
                    <pic:cNvPicPr/>
                  </pic:nvPicPr>
                  <pic:blipFill>
                    <a:blip r:embed="rId16"/>
                    <a:stretch>
                      <a:fillRect/>
                    </a:stretch>
                  </pic:blipFill>
                  <pic:spPr>
                    <a:xfrm>
                      <a:off x="0" y="0"/>
                      <a:ext cx="5040000" cy="3905435"/>
                    </a:xfrm>
                    <a:prstGeom prst="rect"/>
                  </pic:spPr>
                </pic:pic>
              </a:graphicData>
            </a:graphic>
          </wp:inline>
        </w:drawing>
      </w:r>
    </w:p>
    <w:p>
      <w:pPr>
        <w:pStyle w:val="FigureCaption"/>
        <w:jc w:val="center"/>
      </w:pPr>
      <w:r>
        <w:t>Glandes gastriques et principales cellules de la muqueuse — diaporama de la prof.</w:t>
      </w:r>
    </w:p>
    <w:p>
      <w:pPr>
        <w:pStyle w:val="Heading2"/>
      </w:pPr>
      <w:r>
        <w:t>4.3. Motilité gastrique et formation du chyme</w:t>
      </w:r>
    </w:p>
    <w:p>
      <w:pPr>
        <w:pStyle w:val="ListBullet"/>
        <w:spacing w:after="30"/>
        <w:ind w:left="198" w:hanging="102"/>
      </w:pPr>
      <w:r>
        <w:rPr>
          <w:rFonts w:ascii="Arial" w:hAnsi="Arial"/>
        </w:rPr>
        <w:t>Peu après l’arrivée de la nourriture, des contractions partent du fundus vers le pylore ; le diaporama indique des vagues environ toutes les 20 secondes.</w:t>
      </w:r>
    </w:p>
    <w:p>
      <w:pPr>
        <w:pStyle w:val="ListBullet"/>
        <w:spacing w:after="30"/>
        <w:ind w:left="198" w:hanging="102"/>
      </w:pPr>
      <w:r>
        <w:rPr>
          <w:rFonts w:ascii="Arial" w:hAnsi="Arial"/>
        </w:rPr>
        <w:t>Ces vagues mélangent le bol alimentaire avec le suc gastrique.</w:t>
      </w:r>
    </w:p>
    <w:p>
      <w:pPr>
        <w:pStyle w:val="ListBullet"/>
        <w:spacing w:after="30"/>
        <w:ind w:left="198" w:hanging="102"/>
      </w:pPr>
      <w:r>
        <w:rPr>
          <w:rFonts w:ascii="Arial" w:hAnsi="Arial"/>
        </w:rPr>
        <w:t>Des contractions plus fortes envoient ensuite le bol vers le sphincter pylorique fermé, puis le renvoient vers le haut de l’estomac.</w:t>
      </w: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Transformation clé</w:t>
            </w:r>
          </w:p>
          <w:p>
            <w:pPr>
              <w:spacing w:after="20"/>
            </w:pPr>
            <w:r>
              <w:rPr>
                <w:rFonts w:ascii="Arial" w:hAnsi="Arial"/>
                <w:sz w:val="18"/>
              </w:rPr>
              <w:t>Le bol alimentaire devient progressivement une bouillie plus liquide appelée chyme.</w:t>
            </w:r>
          </w:p>
        </w:tc>
      </w:tr>
    </w:tbl>
    <w:p>
      <w:pPr>
        <w:spacing w:after="20"/>
      </w:pPr>
    </w:p>
    <w:p>
      <w:pPr>
        <w:pStyle w:val="ListBullet"/>
        <w:spacing w:after="30"/>
        <w:ind w:left="198" w:hanging="102"/>
      </w:pPr>
      <w:r>
        <w:rPr>
          <w:rFonts w:ascii="Arial" w:hAnsi="Arial"/>
        </w:rPr>
        <w:t>Une petite quantité de substances est absorbée dans l’estomac : eau, acides gras à chaîne courte, certains médicaments comme l’aspirine, et surtout l’alcool.</w:t>
      </w:r>
    </w:p>
    <w:p>
      <w:pPr>
        <w:pStyle w:val="ListBullet"/>
        <w:spacing w:after="30"/>
        <w:ind w:left="198" w:hanging="102"/>
      </w:pPr>
      <w:r>
        <w:rPr>
          <w:rFonts w:ascii="Arial" w:hAnsi="Arial"/>
        </w:rPr>
        <w:t>Le pylore s’ouvre progressivement : une petite quantité de chyme est libérée dans le duodénum à chaque mouvement péristaltique.</w:t>
      </w:r>
    </w:p>
    <w:p>
      <w:r>
        <w:br w:type="page"/>
      </w:r>
    </w:p>
    <w:p>
      <w:pPr>
        <w:pStyle w:val="Heading1"/>
        <w:pBdr>
          <w:bottom w:val="single" w:sz="18" w:space="2" w:color="0B8FA3"/>
        </w:pBdr>
      </w:pPr>
      <w:r>
        <w:t>5. Étape intestinale : formation des nutriments</w:t>
      </w:r>
    </w:p>
    <w:p>
      <w:pPr>
        <w:pStyle w:val="Heading2"/>
      </w:pPr>
      <w:r>
        <w:t>5.1. Les trois segments de l’intestin grêle</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1984"/>
            <w:shd w:fill="23405A"/>
            <w:vAlign w:val="center"/>
            <w:tcMar>
              <w:top w:w="80" w:type="dxa"/>
              <w:start w:w="80" w:type="dxa"/>
              <w:bottom w:w="80" w:type="dxa"/>
              <w:end w:w="80" w:type="dxa"/>
            </w:tcMar>
          </w:tcPr>
          <w:p>
            <w:pPr>
              <w:jc w:val="center"/>
            </w:pPr>
            <w:r>
              <w:rPr>
                <w:rFonts w:ascii="Arial" w:hAnsi="Arial"/>
                <w:b/>
                <w:color w:val="FFFFFF"/>
                <w:sz w:val="17"/>
              </w:rPr>
              <w:t>Segment</w:t>
            </w:r>
          </w:p>
        </w:tc>
        <w:tc>
          <w:tcPr>
            <w:tcW w:type="dxa" w:w="1701"/>
            <w:shd w:fill="23405A"/>
            <w:vAlign w:val="center"/>
            <w:tcMar>
              <w:top w:w="80" w:type="dxa"/>
              <w:start w:w="80" w:type="dxa"/>
              <w:bottom w:w="80" w:type="dxa"/>
              <w:end w:w="80" w:type="dxa"/>
            </w:tcMar>
          </w:tcPr>
          <w:p>
            <w:pPr>
              <w:jc w:val="center"/>
            </w:pPr>
            <w:r>
              <w:rPr>
                <w:rFonts w:ascii="Arial" w:hAnsi="Arial"/>
                <w:b/>
                <w:color w:val="FFFFFF"/>
                <w:sz w:val="17"/>
              </w:rPr>
              <w:t>Longueur indiquée</w:t>
            </w:r>
          </w:p>
        </w:tc>
        <w:tc>
          <w:tcPr>
            <w:tcW w:type="dxa" w:w="5386"/>
            <w:shd w:fill="23405A"/>
            <w:vAlign w:val="center"/>
            <w:tcMar>
              <w:top w:w="80" w:type="dxa"/>
              <w:start w:w="80" w:type="dxa"/>
              <w:bottom w:w="80" w:type="dxa"/>
              <w:end w:w="80" w:type="dxa"/>
            </w:tcMar>
          </w:tcPr>
          <w:p>
            <w:pPr>
              <w:jc w:val="center"/>
            </w:pPr>
            <w:r>
              <w:rPr>
                <w:rFonts w:ascii="Arial" w:hAnsi="Arial"/>
                <w:b/>
                <w:color w:val="FFFFFF"/>
                <w:sz w:val="17"/>
              </w:rPr>
              <w:t>Rôle principal dans le diaporama</w:t>
            </w:r>
          </w:p>
        </w:tc>
      </w:tr>
      <w:tr>
        <w:tc>
          <w:tcPr>
            <w:tcW w:type="dxa" w:w="1984"/>
            <w:shd w:fill="FFFFFF"/>
            <w:vAlign w:val="center"/>
            <w:tcMar>
              <w:top w:w="65" w:type="dxa"/>
              <w:start w:w="75" w:type="dxa"/>
              <w:bottom w:w="65" w:type="dxa"/>
              <w:end w:w="75" w:type="dxa"/>
            </w:tcMar>
          </w:tcPr>
          <w:p>
            <w:r>
              <w:rPr>
                <w:rFonts w:ascii="Arial" w:hAnsi="Arial"/>
                <w:sz w:val="17"/>
              </w:rPr>
              <w:t>Duodénum</w:t>
            </w:r>
          </w:p>
        </w:tc>
        <w:tc>
          <w:tcPr>
            <w:tcW w:type="dxa" w:w="1701"/>
            <w:shd w:fill="FFFFFF"/>
            <w:vAlign w:val="center"/>
            <w:tcMar>
              <w:top w:w="65" w:type="dxa"/>
              <w:start w:w="75" w:type="dxa"/>
              <w:bottom w:w="65" w:type="dxa"/>
              <w:end w:w="75" w:type="dxa"/>
            </w:tcMar>
          </w:tcPr>
          <w:p>
            <w:r>
              <w:rPr>
                <w:rFonts w:ascii="Arial" w:hAnsi="Arial"/>
                <w:sz w:val="17"/>
              </w:rPr>
              <w:t>25 à 30 cm</w:t>
            </w:r>
          </w:p>
        </w:tc>
        <w:tc>
          <w:tcPr>
            <w:tcW w:type="dxa" w:w="5386"/>
            <w:shd w:fill="FFFFFF"/>
            <w:vAlign w:val="center"/>
            <w:tcMar>
              <w:top w:w="65" w:type="dxa"/>
              <w:start w:w="75" w:type="dxa"/>
              <w:bottom w:w="65" w:type="dxa"/>
              <w:end w:w="75" w:type="dxa"/>
            </w:tcMar>
          </w:tcPr>
          <w:p>
            <w:r>
              <w:rPr>
                <w:rFonts w:ascii="Arial" w:hAnsi="Arial"/>
                <w:sz w:val="17"/>
              </w:rPr>
              <w:t>Lieu de formation des nutriments ; reçoit le chyme et les sécrétions du foie et du pancréas.</w:t>
            </w:r>
          </w:p>
        </w:tc>
      </w:tr>
      <w:tr>
        <w:tc>
          <w:tcPr>
            <w:tcW w:type="dxa" w:w="1984"/>
            <w:shd w:fill="F7F9FB"/>
            <w:vAlign w:val="center"/>
            <w:tcMar>
              <w:top w:w="65" w:type="dxa"/>
              <w:start w:w="75" w:type="dxa"/>
              <w:bottom w:w="65" w:type="dxa"/>
              <w:end w:w="75" w:type="dxa"/>
            </w:tcMar>
          </w:tcPr>
          <w:p>
            <w:r>
              <w:rPr>
                <w:rFonts w:ascii="Arial" w:hAnsi="Arial"/>
                <w:sz w:val="17"/>
              </w:rPr>
              <w:t>Jéjunum</w:t>
            </w:r>
          </w:p>
        </w:tc>
        <w:tc>
          <w:tcPr>
            <w:tcW w:type="dxa" w:w="1701"/>
            <w:shd w:fill="F7F9FB"/>
            <w:vAlign w:val="center"/>
            <w:tcMar>
              <w:top w:w="65" w:type="dxa"/>
              <w:start w:w="75" w:type="dxa"/>
              <w:bottom w:w="65" w:type="dxa"/>
              <w:end w:w="75" w:type="dxa"/>
            </w:tcMar>
          </w:tcPr>
          <w:p>
            <w:r>
              <w:rPr>
                <w:rFonts w:ascii="Arial" w:hAnsi="Arial"/>
                <w:sz w:val="17"/>
              </w:rPr>
              <w:t>2,5 m</w:t>
            </w:r>
          </w:p>
        </w:tc>
        <w:tc>
          <w:tcPr>
            <w:tcW w:type="dxa" w:w="5386"/>
            <w:shd w:fill="F7F9FB"/>
            <w:vAlign w:val="center"/>
            <w:tcMar>
              <w:top w:w="65" w:type="dxa"/>
              <w:start w:w="75" w:type="dxa"/>
              <w:bottom w:w="65" w:type="dxa"/>
              <w:end w:w="75" w:type="dxa"/>
            </w:tcMar>
          </w:tcPr>
          <w:p>
            <w:r>
              <w:rPr>
                <w:rFonts w:ascii="Arial" w:hAnsi="Arial"/>
                <w:sz w:val="17"/>
              </w:rPr>
              <w:t>Lieu d’absorption des nutriments.</w:t>
            </w:r>
          </w:p>
        </w:tc>
      </w:tr>
      <w:tr>
        <w:tc>
          <w:tcPr>
            <w:tcW w:type="dxa" w:w="1984"/>
            <w:shd w:fill="FFFFFF"/>
            <w:vAlign w:val="center"/>
            <w:tcMar>
              <w:top w:w="65" w:type="dxa"/>
              <w:start w:w="75" w:type="dxa"/>
              <w:bottom w:w="65" w:type="dxa"/>
              <w:end w:w="75" w:type="dxa"/>
            </w:tcMar>
          </w:tcPr>
          <w:p>
            <w:r>
              <w:rPr>
                <w:rFonts w:ascii="Arial" w:hAnsi="Arial"/>
                <w:sz w:val="17"/>
              </w:rPr>
              <w:t>Iléon</w:t>
            </w:r>
          </w:p>
        </w:tc>
        <w:tc>
          <w:tcPr>
            <w:tcW w:type="dxa" w:w="1701"/>
            <w:shd w:fill="FFFFFF"/>
            <w:vAlign w:val="center"/>
            <w:tcMar>
              <w:top w:w="65" w:type="dxa"/>
              <w:start w:w="75" w:type="dxa"/>
              <w:bottom w:w="65" w:type="dxa"/>
              <w:end w:w="75" w:type="dxa"/>
            </w:tcMar>
          </w:tcPr>
          <w:p>
            <w:r>
              <w:rPr>
                <w:rFonts w:ascii="Arial" w:hAnsi="Arial"/>
                <w:sz w:val="17"/>
              </w:rPr>
              <w:t>3,5 m</w:t>
            </w:r>
          </w:p>
        </w:tc>
        <w:tc>
          <w:tcPr>
            <w:tcW w:type="dxa" w:w="5386"/>
            <w:shd w:fill="FFFFFF"/>
            <w:vAlign w:val="center"/>
            <w:tcMar>
              <w:top w:w="65" w:type="dxa"/>
              <w:start w:w="75" w:type="dxa"/>
              <w:bottom w:w="65" w:type="dxa"/>
              <w:end w:w="75" w:type="dxa"/>
            </w:tcMar>
          </w:tcPr>
          <w:p>
            <w:r>
              <w:rPr>
                <w:rFonts w:ascii="Arial" w:hAnsi="Arial"/>
                <w:sz w:val="17"/>
              </w:rPr>
              <w:t>Lieu d’absorption des nutriments.</w:t>
            </w:r>
          </w:p>
        </w:tc>
      </w:tr>
    </w:tbl>
    <w:p>
      <w:pPr>
        <w:spacing w:after="20"/>
      </w:pPr>
    </w:p>
    <w:p>
      <w:pPr>
        <w:pStyle w:val="Heading2"/>
      </w:pPr>
      <w:r>
        <w:t>5.2. Rôle du pancréas</w:t>
      </w:r>
    </w:p>
    <w:p>
      <w:pPr>
        <w:pStyle w:val="Heading3"/>
      </w:pPr>
      <w:r>
        <w:t>Une glande amphicrine</w:t>
      </w:r>
    </w:p>
    <w:p>
      <w:r>
        <w:rPr>
          <w:rFonts w:ascii="Arial" w:hAnsi="Arial"/>
        </w:rPr>
        <w:t>Le pancréas est à la fois exocrine et endocrine : il est qualifié de glande amphicrine.</w:t>
      </w:r>
    </w:p>
    <w:p>
      <w:pPr>
        <w:pStyle w:val="ListBullet"/>
        <w:spacing w:after="30"/>
        <w:ind w:left="198" w:hanging="102"/>
      </w:pPr>
      <w:r>
        <w:rPr>
          <w:rFonts w:ascii="Arial" w:hAnsi="Arial"/>
        </w:rPr>
        <w:t>Pancréas exocrine : cellules en acini qui fabriquent le suc pancréatique pour la digestion.</w:t>
      </w:r>
    </w:p>
    <w:p>
      <w:pPr>
        <w:pStyle w:val="ListBullet"/>
        <w:spacing w:after="30"/>
        <w:ind w:left="198" w:hanging="102"/>
      </w:pPr>
      <w:r>
        <w:rPr>
          <w:rFonts w:ascii="Arial" w:hAnsi="Arial"/>
        </w:rPr>
        <w:t>Pancréas endocrine : cellules des îlots de Langerhans qui sécrètent des hormones régulatrices de la glycémie, notamment l’insuline et le glucagon.</w:t>
      </w:r>
    </w:p>
    <w:p>
      <w:pPr>
        <w:jc w:val="center"/>
      </w:pPr>
      <w:r>
        <w:drawing>
          <wp:inline xmlns:a="http://schemas.openxmlformats.org/drawingml/2006/main" xmlns:pic="http://schemas.openxmlformats.org/drawingml/2006/picture">
            <wp:extent cx="5112000" cy="3545571"/>
            <wp:docPr id="7" name="Picture 7"/>
            <wp:cNvGraphicFramePr>
              <a:graphicFrameLocks noChangeAspect="1"/>
            </wp:cNvGraphicFramePr>
            <a:graphic>
              <a:graphicData uri="http://schemas.openxmlformats.org/drawingml/2006/picture">
                <pic:pic>
                  <pic:nvPicPr>
                    <pic:cNvPr id="0" name="slide_25.png"/>
                    <pic:cNvPicPr/>
                  </pic:nvPicPr>
                  <pic:blipFill>
                    <a:blip r:embed="rId17"/>
                    <a:stretch>
                      <a:fillRect/>
                    </a:stretch>
                  </pic:blipFill>
                  <pic:spPr>
                    <a:xfrm>
                      <a:off x="0" y="0"/>
                      <a:ext cx="5112000" cy="3545571"/>
                    </a:xfrm>
                    <a:prstGeom prst="rect"/>
                  </pic:spPr>
                </pic:pic>
              </a:graphicData>
            </a:graphic>
          </wp:inline>
        </w:drawing>
      </w:r>
    </w:p>
    <w:p>
      <w:pPr>
        <w:pStyle w:val="FigureCaption"/>
        <w:jc w:val="center"/>
      </w:pPr>
      <w:r>
        <w:t>Histologie du pancréas : composantes exocrine et endocrine — diaporama de la prof.</w:t>
      </w:r>
    </w:p>
    <w:p>
      <w:pPr>
        <w:pStyle w:val="Heading3"/>
      </w:pPr>
      <w:r>
        <w:t>Le suc pancréatique</w:t>
      </w:r>
    </w:p>
    <w:p>
      <w:r>
        <w:rPr>
          <w:rFonts w:ascii="Arial" w:hAnsi="Arial"/>
        </w:rPr>
        <w:t>Composition indiquée : eau, bicarbonate de sodium (NaHCO₃), pH ≈ 8 et enzymes.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3402"/>
            <w:shd w:fill="23405A"/>
            <w:vAlign w:val="center"/>
            <w:tcMar>
              <w:top w:w="80" w:type="dxa"/>
              <w:start w:w="80" w:type="dxa"/>
              <w:bottom w:w="80" w:type="dxa"/>
              <w:end w:w="80" w:type="dxa"/>
            </w:tcMar>
          </w:tcPr>
          <w:p>
            <w:pPr>
              <w:jc w:val="center"/>
            </w:pPr>
            <w:r>
              <w:rPr>
                <w:rFonts w:ascii="Arial" w:hAnsi="Arial"/>
                <w:b/>
                <w:color w:val="FFFFFF"/>
                <w:sz w:val="17"/>
              </w:rPr>
              <w:t>Enzyme / groupe</w:t>
            </w:r>
          </w:p>
        </w:tc>
        <w:tc>
          <w:tcPr>
            <w:tcW w:type="dxa" w:w="5669"/>
            <w:shd w:fill="23405A"/>
            <w:vAlign w:val="center"/>
            <w:tcMar>
              <w:top w:w="80" w:type="dxa"/>
              <w:start w:w="80" w:type="dxa"/>
              <w:bottom w:w="80" w:type="dxa"/>
              <w:end w:w="80" w:type="dxa"/>
            </w:tcMar>
          </w:tcPr>
          <w:p>
            <w:pPr>
              <w:jc w:val="center"/>
            </w:pPr>
            <w:r>
              <w:rPr>
                <w:rFonts w:ascii="Arial" w:hAnsi="Arial"/>
                <w:b/>
                <w:color w:val="FFFFFF"/>
                <w:sz w:val="17"/>
              </w:rPr>
              <w:t>Action indiquée</w:t>
            </w:r>
          </w:p>
        </w:tc>
      </w:tr>
      <w:tr>
        <w:tc>
          <w:tcPr>
            <w:tcW w:type="dxa" w:w="3402"/>
            <w:shd w:fill="FFFFFF"/>
            <w:vAlign w:val="center"/>
            <w:tcMar>
              <w:top w:w="65" w:type="dxa"/>
              <w:start w:w="75" w:type="dxa"/>
              <w:bottom w:w="65" w:type="dxa"/>
              <w:end w:w="75" w:type="dxa"/>
            </w:tcMar>
          </w:tcPr>
          <w:p>
            <w:r>
              <w:rPr>
                <w:rFonts w:ascii="Arial" w:hAnsi="Arial"/>
                <w:sz w:val="17"/>
              </w:rPr>
              <w:t>Amylase</w:t>
            </w:r>
          </w:p>
        </w:tc>
        <w:tc>
          <w:tcPr>
            <w:tcW w:type="dxa" w:w="5669"/>
            <w:shd w:fill="FFFFFF"/>
            <w:vAlign w:val="center"/>
            <w:tcMar>
              <w:top w:w="65" w:type="dxa"/>
              <w:start w:w="75" w:type="dxa"/>
              <w:bottom w:w="65" w:type="dxa"/>
              <w:end w:w="75" w:type="dxa"/>
            </w:tcMar>
          </w:tcPr>
          <w:p>
            <w:r>
              <w:rPr>
                <w:rFonts w:ascii="Arial" w:hAnsi="Arial"/>
                <w:sz w:val="17"/>
              </w:rPr>
              <w:t>Dégrade les polysaccharides, par exemple l’amidon, en maltose.</w:t>
            </w:r>
          </w:p>
        </w:tc>
      </w:tr>
      <w:tr>
        <w:tc>
          <w:tcPr>
            <w:tcW w:type="dxa" w:w="3402"/>
            <w:shd w:fill="F7F9FB"/>
            <w:vAlign w:val="center"/>
            <w:tcMar>
              <w:top w:w="65" w:type="dxa"/>
              <w:start w:w="75" w:type="dxa"/>
              <w:bottom w:w="65" w:type="dxa"/>
              <w:end w:w="75" w:type="dxa"/>
            </w:tcMar>
          </w:tcPr>
          <w:p>
            <w:r>
              <w:rPr>
                <w:rFonts w:ascii="Arial" w:hAnsi="Arial"/>
                <w:sz w:val="17"/>
              </w:rPr>
              <w:t>Lipase</w:t>
            </w:r>
          </w:p>
        </w:tc>
        <w:tc>
          <w:tcPr>
            <w:tcW w:type="dxa" w:w="5669"/>
            <w:shd w:fill="F7F9FB"/>
            <w:vAlign w:val="center"/>
            <w:tcMar>
              <w:top w:w="65" w:type="dxa"/>
              <w:start w:w="75" w:type="dxa"/>
              <w:bottom w:w="65" w:type="dxa"/>
              <w:end w:w="75" w:type="dxa"/>
            </w:tcMar>
          </w:tcPr>
          <w:p>
            <w:r>
              <w:rPr>
                <w:rFonts w:ascii="Arial" w:hAnsi="Arial"/>
                <w:sz w:val="17"/>
              </w:rPr>
              <w:t>Dégrade les triglycérides en glycérol et acides gras.</w:t>
            </w:r>
          </w:p>
        </w:tc>
      </w:tr>
      <w:tr>
        <w:tc>
          <w:tcPr>
            <w:tcW w:type="dxa" w:w="3402"/>
            <w:shd w:fill="FFFFFF"/>
            <w:vAlign w:val="center"/>
            <w:tcMar>
              <w:top w:w="65" w:type="dxa"/>
              <w:start w:w="75" w:type="dxa"/>
              <w:bottom w:w="65" w:type="dxa"/>
              <w:end w:w="75" w:type="dxa"/>
            </w:tcMar>
          </w:tcPr>
          <w:p>
            <w:r>
              <w:rPr>
                <w:rFonts w:ascii="Arial" w:hAnsi="Arial"/>
                <w:sz w:val="17"/>
              </w:rPr>
              <w:t>Phospholipase</w:t>
            </w:r>
          </w:p>
        </w:tc>
        <w:tc>
          <w:tcPr>
            <w:tcW w:type="dxa" w:w="5669"/>
            <w:shd w:fill="FFFFFF"/>
            <w:vAlign w:val="center"/>
            <w:tcMar>
              <w:top w:w="65" w:type="dxa"/>
              <w:start w:w="75" w:type="dxa"/>
              <w:bottom w:w="65" w:type="dxa"/>
              <w:end w:w="75" w:type="dxa"/>
            </w:tcMar>
          </w:tcPr>
          <w:p>
            <w:r>
              <w:rPr>
                <w:rFonts w:ascii="Arial" w:hAnsi="Arial"/>
                <w:sz w:val="17"/>
              </w:rPr>
              <w:t>Mentionnée parmi les enzymes lipidiques.</w:t>
            </w:r>
          </w:p>
        </w:tc>
      </w:tr>
      <w:tr>
        <w:tc>
          <w:tcPr>
            <w:tcW w:type="dxa" w:w="3402"/>
            <w:shd w:fill="F7F9FB"/>
            <w:vAlign w:val="center"/>
            <w:tcMar>
              <w:top w:w="65" w:type="dxa"/>
              <w:start w:w="75" w:type="dxa"/>
              <w:bottom w:w="65" w:type="dxa"/>
              <w:end w:w="75" w:type="dxa"/>
            </w:tcMar>
          </w:tcPr>
          <w:p>
            <w:r>
              <w:rPr>
                <w:rFonts w:ascii="Arial" w:hAnsi="Arial"/>
                <w:sz w:val="17"/>
              </w:rPr>
              <w:t>Ribonucléase + désoxyribonucléase</w:t>
            </w:r>
          </w:p>
        </w:tc>
        <w:tc>
          <w:tcPr>
            <w:tcW w:type="dxa" w:w="5669"/>
            <w:shd w:fill="F7F9FB"/>
            <w:vAlign w:val="center"/>
            <w:tcMar>
              <w:top w:w="65" w:type="dxa"/>
              <w:start w:w="75" w:type="dxa"/>
              <w:bottom w:w="65" w:type="dxa"/>
              <w:end w:w="75" w:type="dxa"/>
            </w:tcMar>
          </w:tcPr>
          <w:p>
            <w:r>
              <w:rPr>
                <w:rFonts w:ascii="Arial" w:hAnsi="Arial"/>
                <w:sz w:val="17"/>
              </w:rPr>
              <w:t>Dégradent les acides nucléiques.</w:t>
            </w:r>
          </w:p>
        </w:tc>
      </w:tr>
    </w:tbl>
    <w:p>
      <w:pPr>
        <w:spacing w:after="20"/>
      </w:pPr>
    </w:p>
    <w:p>
      <w:pPr>
        <w:pStyle w:val="Heading3"/>
      </w:pPr>
      <w:r>
        <w:t>Proenzymes et protection du pancréas</w:t>
      </w:r>
    </w:p>
    <w:p>
      <w:r>
        <w:rPr>
          <w:rFonts w:ascii="Arial" w:hAnsi="Arial"/>
        </w:rPr>
        <w:t>Certaines enzymes sont sécrétées sous forme de proenzymes inactives, ce qui empêche l’autodigestion du pancréas. La trypsine est présentée comme une protéase capable de dégrader différents types de protéines ; le diaporama cite aussi l’élastase et la collagénase.</w:t>
      </w:r>
    </w:p>
    <w:p>
      <w:pPr>
        <w:pStyle w:val="Heading3"/>
      </w:pPr>
      <w:r>
        <w:t>Régulation</w:t>
      </w:r>
    </w:p>
    <w:tbl>
      <w:tblPr>
        <w:tblW w:type="auto" w:w="0"/>
        <w:jc w:val="center"/>
        <w:tblLayout w:type="autofit"/>
        <w:tblLook w:firstColumn="1" w:firstRow="1" w:lastColumn="0" w:lastRow="0" w:noHBand="0" w:noVBand="1" w:val="04A0"/>
      </w:tblPr>
      <w:tblGrid>
        <w:gridCol w:w="10148"/>
      </w:tblGrid>
      <w:tr>
        <w:tc>
          <w:tcPr>
            <w:tcW w:type="dxa" w:w="10148"/>
            <w:shd w:fill="EAF4F8"/>
            <w:tcBorders>
              <w:top w:val="nil"/>
              <w:left w:val="single" w:sz="22" w:color="356D9A"/>
              <w:bottom w:val="nil"/>
              <w:right w:val="nil"/>
            </w:tcBorders>
            <w:tcMar>
              <w:top w:w="90" w:type="dxa"/>
              <w:start w:w="130" w:type="dxa"/>
              <w:bottom w:w="90" w:type="dxa"/>
              <w:end w:w="130" w:type="dxa"/>
            </w:tcMar>
          </w:tcPr>
          <w:p>
            <w:pPr>
              <w:spacing w:after="40"/>
            </w:pPr>
            <w:r>
              <w:rPr>
                <w:rFonts w:ascii="Arial" w:hAnsi="Arial"/>
                <w:b/>
                <w:color w:val="356D9A"/>
                <w:sz w:val="20"/>
              </w:rPr>
              <w:t>CCK + sécrétine</w:t>
            </w:r>
          </w:p>
          <w:p>
            <w:pPr>
              <w:spacing w:after="20"/>
            </w:pPr>
            <w:r>
              <w:rPr>
                <w:rFonts w:ascii="Arial" w:hAnsi="Arial"/>
                <w:sz w:val="18"/>
              </w:rPr>
              <w:t>À l’arrivée du chyme dans le duodénum, les cellules duodénales sécrètent la CCK et la sécrétine ; ces deux hormones stimulent le pancréas et la sécrétion du suc pancréatique.</w:t>
            </w:r>
          </w:p>
        </w:tc>
      </w:tr>
    </w:tbl>
    <w:p>
      <w:pPr>
        <w:spacing w:after="20"/>
      </w:pPr>
    </w:p>
    <w:p>
      <w:pPr>
        <w:pStyle w:val="Heading2"/>
      </w:pPr>
      <w:r>
        <w:t>5.3. Rôle du foie et de la vésicule biliaire</w:t>
      </w:r>
    </w:p>
    <w:p>
      <w:r>
        <w:rPr>
          <w:rFonts w:ascii="Arial" w:hAnsi="Arial"/>
        </w:rPr>
        <w:t>Le foie est présenté comme une glande exocrine à deux lobes. La vésicule biliaire est un sac en forme de poire mesurant 7 à 10 cm de long.</w:t>
      </w:r>
    </w:p>
    <w:p>
      <w:pPr>
        <w:pStyle w:val="Heading3"/>
      </w:pPr>
      <w:r>
        <w:t>Structure du foie</w:t>
      </w:r>
    </w:p>
    <w:p>
      <w:pPr>
        <w:pStyle w:val="ListBullet"/>
        <w:spacing w:after="30"/>
        <w:ind w:left="198" w:hanging="102"/>
      </w:pPr>
      <w:r>
        <w:rPr>
          <w:rFonts w:ascii="Arial" w:hAnsi="Arial"/>
        </w:rPr>
        <w:t>Dans le lobule hépatique, les hépatocytes sont organisés en travées ; une travée d’hépatocytes est appelée travée de Remak.</w:t>
      </w:r>
    </w:p>
    <w:p>
      <w:pPr>
        <w:pStyle w:val="ListBullet"/>
        <w:spacing w:after="30"/>
        <w:ind w:left="198" w:hanging="102"/>
      </w:pPr>
      <w:r>
        <w:rPr>
          <w:rFonts w:ascii="Arial" w:hAnsi="Arial"/>
        </w:rPr>
        <w:t>Les travées sont séparées par des sinusoïdes sanguins, capillaires très perméables.</w:t>
      </w:r>
    </w:p>
    <w:p>
      <w:pPr>
        <w:pStyle w:val="ListBullet"/>
        <w:spacing w:after="30"/>
        <w:ind w:left="198" w:hanging="102"/>
      </w:pPr>
      <w:r>
        <w:rPr>
          <w:rFonts w:ascii="Arial" w:hAnsi="Arial"/>
        </w:rPr>
        <w:t>Des cellules réticulo-endothéliales sont indiquées comme détruisant les globules rouges vieillissants.</w:t>
      </w:r>
    </w:p>
    <w:p>
      <w:pPr>
        <w:pStyle w:val="ListBullet"/>
        <w:spacing w:after="30"/>
        <w:ind w:left="198" w:hanging="102"/>
      </w:pPr>
      <w:r>
        <w:rPr>
          <w:rFonts w:ascii="Arial" w:hAnsi="Arial"/>
        </w:rPr>
        <w:t>Système porte : veine située entre deux réseaux de capillaires ; exemple donné : veine porte hépatique entre l’intestin grêle et le foie.</w:t>
      </w:r>
    </w:p>
    <w:p>
      <w:pPr>
        <w:pStyle w:val="Heading3"/>
      </w:pPr>
      <w:r>
        <w:t>Formation et trajet de la bile</w:t>
      </w:r>
    </w:p>
    <w:p>
      <w:pPr>
        <w:pStyle w:val="ListBullet"/>
        <w:spacing w:after="30"/>
        <w:ind w:left="198" w:hanging="102"/>
      </w:pPr>
      <w:r>
        <w:rPr>
          <w:rFonts w:ascii="Arial" w:hAnsi="Arial"/>
        </w:rPr>
        <w:t>Les hépatocytes fabriquent la bile et la déversent dans les canalicules biliaires.</w:t>
      </w:r>
    </w:p>
    <w:p>
      <w:pPr>
        <w:pStyle w:val="ListBullet"/>
        <w:spacing w:after="30"/>
        <w:ind w:left="198" w:hanging="102"/>
      </w:pPr>
      <w:r>
        <w:rPr>
          <w:rFonts w:ascii="Arial" w:hAnsi="Arial"/>
        </w:rPr>
        <w:t>Les canalicules des lobes droit et gauche se rejoignent pour former le conduit hépatique commun.</w:t>
      </w:r>
    </w:p>
    <w:p>
      <w:pPr>
        <w:pStyle w:val="ListBullet"/>
        <w:spacing w:after="30"/>
        <w:ind w:left="198" w:hanging="102"/>
      </w:pPr>
      <w:r>
        <w:rPr>
          <w:rFonts w:ascii="Arial" w:hAnsi="Arial"/>
        </w:rPr>
        <w:t>Le conduit cystique permet à la bile de gagner la vésicule biliaire pour y être stockée et d’être évacuée vers le duodénum.</w:t>
      </w:r>
    </w:p>
    <w:p>
      <w:pPr>
        <w:pStyle w:val="ListBullet"/>
        <w:spacing w:after="30"/>
        <w:ind w:left="198" w:hanging="102"/>
      </w:pPr>
      <w:r>
        <w:rPr>
          <w:rFonts w:ascii="Arial" w:hAnsi="Arial"/>
        </w:rPr>
        <w:t>Le conduit cholédoque débouche dans l’ampoule hépatopancréatique.</w:t>
      </w:r>
    </w:p>
    <w:p>
      <w:pPr>
        <w:jc w:val="center"/>
      </w:pPr>
      <w:r>
        <w:drawing>
          <wp:inline xmlns:a="http://schemas.openxmlformats.org/drawingml/2006/main" xmlns:pic="http://schemas.openxmlformats.org/drawingml/2006/picture">
            <wp:extent cx="4932000" cy="4077749"/>
            <wp:docPr id="8" name="Picture 8"/>
            <wp:cNvGraphicFramePr>
              <a:graphicFrameLocks noChangeAspect="1"/>
            </wp:cNvGraphicFramePr>
            <a:graphic>
              <a:graphicData uri="http://schemas.openxmlformats.org/drawingml/2006/picture">
                <pic:pic>
                  <pic:nvPicPr>
                    <pic:cNvPr id="0" name="slide_35.png"/>
                    <pic:cNvPicPr/>
                  </pic:nvPicPr>
                  <pic:blipFill>
                    <a:blip r:embed="rId18"/>
                    <a:stretch>
                      <a:fillRect/>
                    </a:stretch>
                  </pic:blipFill>
                  <pic:spPr>
                    <a:xfrm>
                      <a:off x="0" y="0"/>
                      <a:ext cx="4932000" cy="4077749"/>
                    </a:xfrm>
                    <a:prstGeom prst="rect"/>
                  </pic:spPr>
                </pic:pic>
              </a:graphicData>
            </a:graphic>
          </wp:inline>
        </w:drawing>
      </w:r>
    </w:p>
    <w:p>
      <w:pPr>
        <w:pStyle w:val="FigureCaption"/>
        <w:jc w:val="center"/>
      </w:pPr>
      <w:r>
        <w:t>Voies biliaires : conduit hépatique commun, conduit cystique et cholédoque — diaporama de la prof.</w:t>
      </w:r>
    </w:p>
    <w:p>
      <w:pPr>
        <w:pStyle w:val="Heading3"/>
      </w:pPr>
      <w:r>
        <w:t>Composition et fonction de la bile</w:t>
      </w:r>
    </w:p>
    <w:p>
      <w:r>
        <w:rPr>
          <w:rFonts w:ascii="Arial" w:hAnsi="Arial"/>
        </w:rPr>
        <w:t>Le diaporama décrit la bile comme un liquide jaune-vert composé notamment de 97 % d’eau, de glucides, lipides, protéines, sels biliaires et pigments biliaires (bilirubine et stercobiline).</w:t>
      </w:r>
    </w:p>
    <w:p>
      <w:r>
        <w:rPr>
          <w:rFonts w:ascii="Arial" w:hAnsi="Arial"/>
        </w:rPr>
        <w:t>La bilirubine provient de la dégradation d’une partie de l’hémoglobine des hématies. Le cours associe les pigments biliaires à la coloration jaune de l’urine et brune des fèces.</w:t>
      </w: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Rôle des sels biliaires</w:t>
            </w:r>
          </w:p>
          <w:p>
            <w:pPr>
              <w:spacing w:after="20"/>
            </w:pPr>
            <w:r>
              <w:rPr>
                <w:rFonts w:ascii="Arial" w:hAnsi="Arial"/>
                <w:sz w:val="18"/>
              </w:rPr>
              <w:t>Les sels biliaires sont des agents émulsifiants des lipides : ils fragmentent les grosses masses lipidiques en petites particules plus facilement dégradables par les lipases pancréatiques. Après l’action des lipases, les lipides forment des micelles absorbables par la paroi intestinale.</w:t>
            </w:r>
          </w:p>
        </w:tc>
      </w:tr>
    </w:tbl>
    <w:p>
      <w:pPr>
        <w:spacing w:after="20"/>
      </w:pPr>
    </w:p>
    <w:p>
      <w:pPr>
        <w:jc w:val="center"/>
      </w:pPr>
      <w:r>
        <w:drawing>
          <wp:inline xmlns:a="http://schemas.openxmlformats.org/drawingml/2006/main" xmlns:pic="http://schemas.openxmlformats.org/drawingml/2006/picture">
            <wp:extent cx="4932000" cy="3830413"/>
            <wp:docPr id="9" name="Picture 9"/>
            <wp:cNvGraphicFramePr>
              <a:graphicFrameLocks noChangeAspect="1"/>
            </wp:cNvGraphicFramePr>
            <a:graphic>
              <a:graphicData uri="http://schemas.openxmlformats.org/drawingml/2006/picture">
                <pic:pic>
                  <pic:nvPicPr>
                    <pic:cNvPr id="0" name="slide_37.png"/>
                    <pic:cNvPicPr/>
                  </pic:nvPicPr>
                  <pic:blipFill>
                    <a:blip r:embed="rId19"/>
                    <a:stretch>
                      <a:fillRect/>
                    </a:stretch>
                  </pic:blipFill>
                  <pic:spPr>
                    <a:xfrm>
                      <a:off x="0" y="0"/>
                      <a:ext cx="4932000" cy="3830413"/>
                    </a:xfrm>
                    <a:prstGeom prst="rect"/>
                  </pic:spPr>
                </pic:pic>
              </a:graphicData>
            </a:graphic>
          </wp:inline>
        </w:drawing>
      </w:r>
    </w:p>
    <w:p>
      <w:pPr>
        <w:pStyle w:val="FigureCaption"/>
        <w:jc w:val="center"/>
      </w:pPr>
      <w:r>
        <w:t>Émulsification des lipides par les sels biliaires et formation de micelles — diaporama de la prof.</w:t>
      </w:r>
    </w:p>
    <w:tbl>
      <w:tblPr>
        <w:tblW w:type="auto" w:w="0"/>
        <w:jc w:val="center"/>
        <w:tblLayout w:type="autofit"/>
        <w:tblLook w:firstColumn="1" w:firstRow="1" w:lastColumn="0" w:lastRow="0" w:noHBand="0" w:noVBand="1" w:val="04A0"/>
      </w:tblPr>
      <w:tblGrid>
        <w:gridCol w:w="10148"/>
      </w:tblGrid>
      <w:tr>
        <w:tc>
          <w:tcPr>
            <w:tcW w:type="dxa" w:w="10148"/>
            <w:shd w:fill="EAF4F8"/>
            <w:tcBorders>
              <w:top w:val="nil"/>
              <w:left w:val="single" w:sz="22" w:color="0B8FA3"/>
              <w:bottom w:val="nil"/>
              <w:right w:val="nil"/>
            </w:tcBorders>
            <w:tcMar>
              <w:top w:w="90" w:type="dxa"/>
              <w:start w:w="130" w:type="dxa"/>
              <w:bottom w:w="90" w:type="dxa"/>
              <w:end w:w="130" w:type="dxa"/>
            </w:tcMar>
          </w:tcPr>
          <w:p>
            <w:pPr>
              <w:spacing w:after="40"/>
            </w:pPr>
            <w:r>
              <w:rPr>
                <w:rFonts w:ascii="Arial" w:hAnsi="Arial"/>
                <w:b/>
                <w:color w:val="0B8FA3"/>
                <w:sz w:val="20"/>
              </w:rPr>
              <w:t>Bilan du duodénum</w:t>
            </w:r>
          </w:p>
          <w:p>
            <w:pPr>
              <w:spacing w:after="20"/>
            </w:pPr>
            <w:r>
              <w:rPr>
                <w:rFonts w:ascii="Arial" w:hAnsi="Arial"/>
                <w:sz w:val="18"/>
              </w:rPr>
              <w:t>Le duodénum fabrique le suc intestinal et reçoit les sécrétions du pancréas et du foie. Les grosses molécules du chyme sont alors réduites en nutriments : l’ensemble forme le chyle.</w:t>
            </w:r>
          </w:p>
        </w:tc>
      </w:tr>
    </w:tbl>
    <w:p>
      <w:pPr>
        <w:spacing w:after="20"/>
      </w:pPr>
    </w:p>
    <w:p>
      <w:r>
        <w:br w:type="page"/>
      </w:r>
    </w:p>
    <w:p>
      <w:pPr>
        <w:pStyle w:val="Heading1"/>
        <w:pBdr>
          <w:bottom w:val="single" w:sz="18" w:space="2" w:color="0B8FA3"/>
        </w:pBdr>
      </w:pPr>
      <w:r>
        <w:t>6. Absorption intestinale</w:t>
      </w:r>
    </w:p>
    <w:p>
      <w:pPr>
        <w:pStyle w:val="Heading2"/>
      </w:pPr>
      <w:r>
        <w:t>6.1. Où a lieu l’absorption ?</w:t>
      </w:r>
    </w:p>
    <w:p>
      <w:r>
        <w:rPr>
          <w:rFonts w:ascii="Arial" w:hAnsi="Arial"/>
        </w:rPr>
        <w:t>L’absorption a lieu dans l’intestin grêle, en particulier dans le jéjunum et l’iléon.</w:t>
      </w:r>
    </w:p>
    <w:p>
      <w:pPr>
        <w:pStyle w:val="Heading2"/>
      </w:pPr>
      <w:r>
        <w:t>6.2. Villosités, microvillosités et vaisseaux</w:t>
      </w:r>
    </w:p>
    <w:p>
      <w:pPr>
        <w:pStyle w:val="ListBullet"/>
        <w:spacing w:after="30"/>
        <w:ind w:left="198" w:hanging="102"/>
      </w:pPr>
      <w:r>
        <w:rPr>
          <w:rFonts w:ascii="Arial" w:hAnsi="Arial"/>
        </w:rPr>
        <w:t>La muqueuse de l’intestin grêle présente des villosités et des microvillosités.</w:t>
      </w:r>
    </w:p>
    <w:p>
      <w:pPr>
        <w:pStyle w:val="ListBullet"/>
        <w:spacing w:after="30"/>
        <w:ind w:left="198" w:hanging="102"/>
      </w:pPr>
      <w:r>
        <w:rPr>
          <w:rFonts w:ascii="Arial" w:hAnsi="Arial"/>
        </w:rPr>
        <w:t>Chaque villosité contient des capillaires sanguins et un vaisseau chylifère, c’est-à-dire un capillaire lymphatique.</w:t>
      </w:r>
    </w:p>
    <w:p>
      <w:pPr>
        <w:pStyle w:val="ListBullet"/>
        <w:spacing w:after="30"/>
        <w:ind w:left="198" w:hanging="102"/>
      </w:pPr>
      <w:r>
        <w:rPr>
          <w:rFonts w:ascii="Arial" w:hAnsi="Arial"/>
        </w:rPr>
        <w:t>La face apicale des entérocytes porte une bordure en brosse formée par les microvillosités.</w:t>
      </w:r>
    </w:p>
    <w:p>
      <w:pPr>
        <w:pStyle w:val="ListBullet"/>
        <w:spacing w:after="30"/>
        <w:ind w:left="198" w:hanging="102"/>
      </w:pPr>
      <w:r>
        <w:rPr>
          <w:rFonts w:ascii="Arial" w:hAnsi="Arial"/>
        </w:rPr>
        <w:t>Les glandes intestinales produisent un suc intestinal riche en eau, mucus, enzymes et lysozymes.</w:t>
      </w:r>
    </w:p>
    <w:p>
      <w:pPr>
        <w:jc w:val="center"/>
      </w:pPr>
      <w:r>
        <w:drawing>
          <wp:inline xmlns:a="http://schemas.openxmlformats.org/drawingml/2006/main" xmlns:pic="http://schemas.openxmlformats.org/drawingml/2006/picture">
            <wp:extent cx="5076000" cy="3577797"/>
            <wp:docPr id="10" name="Picture 10"/>
            <wp:cNvGraphicFramePr>
              <a:graphicFrameLocks noChangeAspect="1"/>
            </wp:cNvGraphicFramePr>
            <a:graphic>
              <a:graphicData uri="http://schemas.openxmlformats.org/drawingml/2006/picture">
                <pic:pic>
                  <pic:nvPicPr>
                    <pic:cNvPr id="0" name="slide_41.png"/>
                    <pic:cNvPicPr/>
                  </pic:nvPicPr>
                  <pic:blipFill>
                    <a:blip r:embed="rId20"/>
                    <a:stretch>
                      <a:fillRect/>
                    </a:stretch>
                  </pic:blipFill>
                  <pic:spPr>
                    <a:xfrm>
                      <a:off x="0" y="0"/>
                      <a:ext cx="5076000" cy="3577797"/>
                    </a:xfrm>
                    <a:prstGeom prst="rect"/>
                  </pic:spPr>
                </pic:pic>
              </a:graphicData>
            </a:graphic>
          </wp:inline>
        </w:drawing>
      </w:r>
    </w:p>
    <w:p>
      <w:pPr>
        <w:pStyle w:val="FigureCaption"/>
        <w:jc w:val="center"/>
      </w:pPr>
      <w:r>
        <w:t>Villosités, microvillosités, capillaires sanguins et vaisseau chylifère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reprend la même logique visuelle en montrant les plis, les villosités puis les microvillosités de l’intestin grêle.</w:t>
            </w:r>
          </w:p>
        </w:tc>
      </w:tr>
    </w:tbl>
    <w:p>
      <w:pPr>
        <w:spacing w:after="20"/>
      </w:pPr>
    </w:p>
    <w:p>
      <w:pPr>
        <w:pStyle w:val="Heading2"/>
      </w:pPr>
      <w:r>
        <w:t>6.3. Enzymes de la bordure en brosse</w:t>
      </w:r>
    </w:p>
    <w:p>
      <w:r>
        <w:rPr>
          <w:rFonts w:ascii="Arial" w:hAnsi="Arial"/>
        </w:rPr>
        <w:t>Les enzymes de la bordure en brosse sont des protéines ancrées dans la membrane des microvillosités.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Enzyme</w:t>
            </w:r>
          </w:p>
        </w:tc>
        <w:tc>
          <w:tcPr>
            <w:tcW w:type="dxa" w:w="6236"/>
            <w:shd w:fill="23405A"/>
            <w:vAlign w:val="center"/>
            <w:tcMar>
              <w:top w:w="80" w:type="dxa"/>
              <w:start w:w="80" w:type="dxa"/>
              <w:bottom w:w="80" w:type="dxa"/>
              <w:end w:w="80" w:type="dxa"/>
            </w:tcMar>
          </w:tcPr>
          <w:p>
            <w:pPr>
              <w:jc w:val="center"/>
            </w:pPr>
            <w:r>
              <w:rPr>
                <w:rFonts w:ascii="Arial" w:hAnsi="Arial"/>
                <w:b/>
                <w:color w:val="FFFFFF"/>
                <w:sz w:val="17"/>
              </w:rPr>
              <w:t>Substrat / action</w:t>
            </w:r>
          </w:p>
        </w:tc>
      </w:tr>
      <w:tr>
        <w:tc>
          <w:tcPr>
            <w:tcW w:type="dxa" w:w="2835"/>
            <w:shd w:fill="FFFFFF"/>
            <w:vAlign w:val="center"/>
            <w:tcMar>
              <w:top w:w="65" w:type="dxa"/>
              <w:start w:w="75" w:type="dxa"/>
              <w:bottom w:w="65" w:type="dxa"/>
              <w:end w:w="75" w:type="dxa"/>
            </w:tcMar>
          </w:tcPr>
          <w:p>
            <w:r>
              <w:rPr>
                <w:rFonts w:ascii="Arial" w:hAnsi="Arial"/>
                <w:sz w:val="17"/>
              </w:rPr>
              <w:t>Maltase</w:t>
            </w:r>
          </w:p>
        </w:tc>
        <w:tc>
          <w:tcPr>
            <w:tcW w:type="dxa" w:w="6236"/>
            <w:shd w:fill="FFFFFF"/>
            <w:vAlign w:val="center"/>
            <w:tcMar>
              <w:top w:w="65" w:type="dxa"/>
              <w:start w:w="75" w:type="dxa"/>
              <w:bottom w:w="65" w:type="dxa"/>
              <w:end w:w="75" w:type="dxa"/>
            </w:tcMar>
          </w:tcPr>
          <w:p>
            <w:r>
              <w:rPr>
                <w:rFonts w:ascii="Arial" w:hAnsi="Arial"/>
                <w:sz w:val="17"/>
              </w:rPr>
              <w:t>Coupe la liaison entre deux glucoses.</w:t>
            </w:r>
          </w:p>
        </w:tc>
      </w:tr>
      <w:tr>
        <w:tc>
          <w:tcPr>
            <w:tcW w:type="dxa" w:w="2835"/>
            <w:shd w:fill="F7F9FB"/>
            <w:vAlign w:val="center"/>
            <w:tcMar>
              <w:top w:w="65" w:type="dxa"/>
              <w:start w:w="75" w:type="dxa"/>
              <w:bottom w:w="65" w:type="dxa"/>
              <w:end w:w="75" w:type="dxa"/>
            </w:tcMar>
          </w:tcPr>
          <w:p>
            <w:r>
              <w:rPr>
                <w:rFonts w:ascii="Arial" w:hAnsi="Arial"/>
                <w:sz w:val="17"/>
              </w:rPr>
              <w:t>Saccharase</w:t>
            </w:r>
          </w:p>
        </w:tc>
        <w:tc>
          <w:tcPr>
            <w:tcW w:type="dxa" w:w="6236"/>
            <w:shd w:fill="F7F9FB"/>
            <w:vAlign w:val="center"/>
            <w:tcMar>
              <w:top w:w="65" w:type="dxa"/>
              <w:start w:w="75" w:type="dxa"/>
              <w:bottom w:w="65" w:type="dxa"/>
              <w:end w:w="75" w:type="dxa"/>
            </w:tcMar>
          </w:tcPr>
          <w:p>
            <w:r>
              <w:rPr>
                <w:rFonts w:ascii="Arial" w:hAnsi="Arial"/>
                <w:sz w:val="17"/>
              </w:rPr>
              <w:t>Coupe la liaison entre glucose et fructose.</w:t>
            </w:r>
          </w:p>
        </w:tc>
      </w:tr>
      <w:tr>
        <w:tc>
          <w:tcPr>
            <w:tcW w:type="dxa" w:w="2835"/>
            <w:shd w:fill="FFFFFF"/>
            <w:vAlign w:val="center"/>
            <w:tcMar>
              <w:top w:w="65" w:type="dxa"/>
              <w:start w:w="75" w:type="dxa"/>
              <w:bottom w:w="65" w:type="dxa"/>
              <w:end w:w="75" w:type="dxa"/>
            </w:tcMar>
          </w:tcPr>
          <w:p>
            <w:r>
              <w:rPr>
                <w:rFonts w:ascii="Arial" w:hAnsi="Arial"/>
                <w:sz w:val="17"/>
              </w:rPr>
              <w:t>Lactase</w:t>
            </w:r>
          </w:p>
        </w:tc>
        <w:tc>
          <w:tcPr>
            <w:tcW w:type="dxa" w:w="6236"/>
            <w:shd w:fill="FFFFFF"/>
            <w:vAlign w:val="center"/>
            <w:tcMar>
              <w:top w:w="65" w:type="dxa"/>
              <w:start w:w="75" w:type="dxa"/>
              <w:bottom w:w="65" w:type="dxa"/>
              <w:end w:w="75" w:type="dxa"/>
            </w:tcMar>
          </w:tcPr>
          <w:p>
            <w:r>
              <w:rPr>
                <w:rFonts w:ascii="Arial" w:hAnsi="Arial"/>
                <w:sz w:val="17"/>
              </w:rPr>
              <w:t>Coupe la liaison entre glucose et galactose.</w:t>
            </w:r>
          </w:p>
        </w:tc>
      </w:tr>
      <w:tr>
        <w:tc>
          <w:tcPr>
            <w:tcW w:type="dxa" w:w="2835"/>
            <w:shd w:fill="F7F9FB"/>
            <w:vAlign w:val="center"/>
            <w:tcMar>
              <w:top w:w="65" w:type="dxa"/>
              <w:start w:w="75" w:type="dxa"/>
              <w:bottom w:w="65" w:type="dxa"/>
              <w:end w:w="75" w:type="dxa"/>
            </w:tcMar>
          </w:tcPr>
          <w:p>
            <w:r>
              <w:rPr>
                <w:rFonts w:ascii="Arial" w:hAnsi="Arial"/>
                <w:sz w:val="17"/>
              </w:rPr>
              <w:t>Dipeptidases</w:t>
            </w:r>
          </w:p>
        </w:tc>
        <w:tc>
          <w:tcPr>
            <w:tcW w:type="dxa" w:w="6236"/>
            <w:shd w:fill="F7F9FB"/>
            <w:vAlign w:val="center"/>
            <w:tcMar>
              <w:top w:w="65" w:type="dxa"/>
              <w:start w:w="75" w:type="dxa"/>
              <w:bottom w:w="65" w:type="dxa"/>
              <w:end w:w="75" w:type="dxa"/>
            </w:tcMar>
          </w:tcPr>
          <w:p>
            <w:r>
              <w:rPr>
                <w:rFonts w:ascii="Arial" w:hAnsi="Arial"/>
                <w:sz w:val="17"/>
              </w:rPr>
              <w:t>Séparent les dipeptides.</w:t>
            </w:r>
          </w:p>
        </w:tc>
      </w:tr>
    </w:tbl>
    <w:p>
      <w:pPr>
        <w:spacing w:after="20"/>
      </w:pPr>
    </w:p>
    <w:p>
      <w:r>
        <w:br w:type="page"/>
      </w:r>
    </w:p>
    <w:p>
      <w:pPr>
        <w:pStyle w:val="Heading2"/>
      </w:pPr>
      <w:r>
        <w:t>6.4. Motilité de l’intestin grêle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7"/>
              </w:rPr>
              <w:t>Mouvement</w:t>
            </w:r>
          </w:p>
        </w:tc>
        <w:tc>
          <w:tcPr>
            <w:tcW w:type="dxa" w:w="6236"/>
            <w:shd w:fill="23405A"/>
            <w:vAlign w:val="center"/>
            <w:tcMar>
              <w:top w:w="80" w:type="dxa"/>
              <w:start w:w="80" w:type="dxa"/>
              <w:bottom w:w="80" w:type="dxa"/>
              <w:end w:w="80" w:type="dxa"/>
            </w:tcMar>
          </w:tcPr>
          <w:p>
            <w:pPr>
              <w:jc w:val="center"/>
            </w:pPr>
            <w:r>
              <w:rPr>
                <w:rFonts w:ascii="Arial" w:hAnsi="Arial"/>
                <w:b/>
                <w:color w:val="FFFFFF"/>
                <w:sz w:val="17"/>
              </w:rPr>
              <w:t>Rôle</w:t>
            </w:r>
          </w:p>
        </w:tc>
      </w:tr>
      <w:tr>
        <w:tc>
          <w:tcPr>
            <w:tcW w:type="dxa" w:w="2835"/>
            <w:shd w:fill="FFFFFF"/>
            <w:vAlign w:val="center"/>
            <w:tcMar>
              <w:top w:w="65" w:type="dxa"/>
              <w:start w:w="75" w:type="dxa"/>
              <w:bottom w:w="65" w:type="dxa"/>
              <w:end w:w="75" w:type="dxa"/>
            </w:tcMar>
          </w:tcPr>
          <w:p>
            <w:r>
              <w:rPr>
                <w:rFonts w:ascii="Arial" w:hAnsi="Arial"/>
                <w:sz w:val="17"/>
              </w:rPr>
              <w:t>Segmentation</w:t>
            </w:r>
          </w:p>
        </w:tc>
        <w:tc>
          <w:tcPr>
            <w:tcW w:type="dxa" w:w="6236"/>
            <w:shd w:fill="FFFFFF"/>
            <w:vAlign w:val="center"/>
            <w:tcMar>
              <w:top w:w="65" w:type="dxa"/>
              <w:start w:w="75" w:type="dxa"/>
              <w:bottom w:w="65" w:type="dxa"/>
              <w:end w:w="75" w:type="dxa"/>
            </w:tcMar>
          </w:tcPr>
          <w:p>
            <w:r>
              <w:rPr>
                <w:rFonts w:ascii="Arial" w:hAnsi="Arial"/>
                <w:sz w:val="17"/>
              </w:rPr>
              <w:t>Malaxage local du chyle sans le faire progresser.</w:t>
            </w:r>
          </w:p>
        </w:tc>
      </w:tr>
      <w:tr>
        <w:tc>
          <w:tcPr>
            <w:tcW w:type="dxa" w:w="2835"/>
            <w:shd w:fill="F7F9FB"/>
            <w:vAlign w:val="center"/>
            <w:tcMar>
              <w:top w:w="65" w:type="dxa"/>
              <w:start w:w="75" w:type="dxa"/>
              <w:bottom w:w="65" w:type="dxa"/>
              <w:end w:w="75" w:type="dxa"/>
            </w:tcMar>
          </w:tcPr>
          <w:p>
            <w:r>
              <w:rPr>
                <w:rFonts w:ascii="Arial" w:hAnsi="Arial"/>
                <w:sz w:val="17"/>
              </w:rPr>
              <w:t>Péristaltisme</w:t>
            </w:r>
          </w:p>
        </w:tc>
        <w:tc>
          <w:tcPr>
            <w:tcW w:type="dxa" w:w="6236"/>
            <w:shd w:fill="F7F9FB"/>
            <w:vAlign w:val="center"/>
            <w:tcMar>
              <w:top w:w="65" w:type="dxa"/>
              <w:start w:w="75" w:type="dxa"/>
              <w:bottom w:w="65" w:type="dxa"/>
              <w:end w:w="75" w:type="dxa"/>
            </w:tcMar>
          </w:tcPr>
          <w:p>
            <w:r>
              <w:rPr>
                <w:rFonts w:ascii="Arial" w:hAnsi="Arial"/>
                <w:sz w:val="17"/>
              </w:rPr>
              <w:t>Ondes de contraction qui déplacent le chyle vers la valve iléo-cæcale.</w:t>
            </w:r>
          </w:p>
        </w:tc>
      </w:tr>
    </w:tbl>
    <w:p>
      <w:pPr>
        <w:spacing w:after="20"/>
      </w:pPr>
    </w:p>
    <w:p>
      <w:pPr>
        <w:pStyle w:val="Heading2"/>
      </w:pPr>
      <w:r>
        <w:t>6.5. Destination des nutriments absorbés</w:t>
      </w:r>
    </w:p>
    <w:p>
      <w:r>
        <w:rPr>
          <w:rFonts w:ascii="Arial" w:hAnsi="Arial"/>
        </w:rPr>
        <w:t>Le schéma d’absorption du diaporama distingue deux voies principales :</w:t>
      </w:r>
    </w:p>
    <w:p>
      <w:pPr>
        <w:pStyle w:val="ListBullet"/>
        <w:spacing w:after="30"/>
        <w:ind w:left="198" w:hanging="102"/>
      </w:pPr>
      <w:r>
        <w:rPr>
          <w:rFonts w:ascii="Arial" w:hAnsi="Arial"/>
        </w:rPr>
        <w:t>Vers les capillaires sanguins : monosaccharides, acides aminés et acides gras à chaîne courte.</w:t>
      </w:r>
    </w:p>
    <w:p>
      <w:pPr>
        <w:pStyle w:val="ListBullet"/>
        <w:spacing w:after="30"/>
        <w:ind w:left="198" w:hanging="102"/>
      </w:pPr>
      <w:r>
        <w:rPr>
          <w:rFonts w:ascii="Arial" w:hAnsi="Arial"/>
        </w:rPr>
        <w:t>Vers le vaisseau chylifère : les produits lipidiques issus des acides gras à chaîne longue et monoacylglycérols sont retransformés en triacylglycérols puis associés en chylomicrons.</w:t>
      </w:r>
    </w:p>
    <w:p>
      <w:pPr>
        <w:jc w:val="center"/>
      </w:pPr>
      <w:r>
        <w:drawing>
          <wp:inline xmlns:a="http://schemas.openxmlformats.org/drawingml/2006/main" xmlns:pic="http://schemas.openxmlformats.org/drawingml/2006/picture">
            <wp:extent cx="5040000" cy="4005672"/>
            <wp:docPr id="11" name="Picture 11"/>
            <wp:cNvGraphicFramePr>
              <a:graphicFrameLocks noChangeAspect="1"/>
            </wp:cNvGraphicFramePr>
            <a:graphic>
              <a:graphicData uri="http://schemas.openxmlformats.org/drawingml/2006/picture">
                <pic:pic>
                  <pic:nvPicPr>
                    <pic:cNvPr id="0" name="slide_46.png"/>
                    <pic:cNvPicPr/>
                  </pic:nvPicPr>
                  <pic:blipFill>
                    <a:blip r:embed="rId21"/>
                    <a:stretch>
                      <a:fillRect/>
                    </a:stretch>
                  </pic:blipFill>
                  <pic:spPr>
                    <a:xfrm>
                      <a:off x="0" y="0"/>
                      <a:ext cx="5040000" cy="4005672"/>
                    </a:xfrm>
                    <a:prstGeom prst="rect"/>
                  </pic:spPr>
                </pic:pic>
              </a:graphicData>
            </a:graphic>
          </wp:inline>
        </w:drawing>
      </w:r>
    </w:p>
    <w:p>
      <w:pPr>
        <w:pStyle w:val="FigureCaption"/>
        <w:jc w:val="center"/>
      </w:pPr>
      <w:r>
        <w:t>Bilan de l’absorption intestinale : voie sanguine et voie chylifère — diaporama de la prof.</w:t>
      </w: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Repère temporel</w:t>
            </w:r>
          </w:p>
          <w:p>
            <w:pPr>
              <w:spacing w:after="20"/>
            </w:pPr>
            <w:r>
              <w:rPr>
                <w:rFonts w:ascii="Arial" w:hAnsi="Arial"/>
                <w:sz w:val="18"/>
              </w:rPr>
              <w:t>Le diaporama indique que le chyle reste entre 3 et 5 heures dans l’intestin grêle.</w:t>
            </w:r>
          </w:p>
        </w:tc>
      </w:tr>
    </w:tbl>
    <w:p>
      <w:pPr>
        <w:spacing w:after="20"/>
      </w:pPr>
    </w:p>
    <w:p>
      <w:r>
        <w:br w:type="page"/>
      </w:r>
    </w:p>
    <w:p>
      <w:pPr>
        <w:pStyle w:val="Heading1"/>
        <w:pBdr>
          <w:bottom w:val="single" w:sz="18" w:space="2" w:color="0B8FA3"/>
        </w:pBdr>
      </w:pPr>
      <w:r>
        <w:t>7. Gros intestin et défécation</w:t>
      </w:r>
    </w:p>
    <w:p>
      <w:pPr>
        <w:pStyle w:val="Heading2"/>
      </w:pPr>
      <w:r>
        <w:t>7.1. Anatomie du gros intestin</w:t>
      </w:r>
    </w:p>
    <w:p>
      <w:r>
        <w:rPr>
          <w:rFonts w:ascii="Arial" w:hAnsi="Arial"/>
        </w:rPr>
        <w:t>Le gros intestin s’étend de la valvule iléo-cæcale à l’anus. Le diaporama le divise en trois ensembles : cæcum + appendice, côlon et rectum.</w:t>
      </w:r>
    </w:p>
    <w:p>
      <w:r>
        <w:rPr>
          <w:rFonts w:ascii="Arial" w:hAnsi="Arial"/>
        </w:rPr>
        <w:t>Les schémas repèrent aussi les segments du côlon : ascendant, transverse, descendant et sigmoïde.</w:t>
      </w:r>
    </w:p>
    <w:p>
      <w:pPr>
        <w:jc w:val="center"/>
      </w:pPr>
      <w:r>
        <w:drawing>
          <wp:inline xmlns:a="http://schemas.openxmlformats.org/drawingml/2006/main" xmlns:pic="http://schemas.openxmlformats.org/drawingml/2006/picture">
            <wp:extent cx="5112000" cy="4086712"/>
            <wp:docPr id="12" name="Picture 12"/>
            <wp:cNvGraphicFramePr>
              <a:graphicFrameLocks noChangeAspect="1"/>
            </wp:cNvGraphicFramePr>
            <a:graphic>
              <a:graphicData uri="http://schemas.openxmlformats.org/drawingml/2006/picture">
                <pic:pic>
                  <pic:nvPicPr>
                    <pic:cNvPr id="0" name="slide_48.png"/>
                    <pic:cNvPicPr/>
                  </pic:nvPicPr>
                  <pic:blipFill>
                    <a:blip r:embed="rId22"/>
                    <a:stretch>
                      <a:fillRect/>
                    </a:stretch>
                  </pic:blipFill>
                  <pic:spPr>
                    <a:xfrm>
                      <a:off x="0" y="0"/>
                      <a:ext cx="5112000" cy="4086712"/>
                    </a:xfrm>
                    <a:prstGeom prst="rect"/>
                  </pic:spPr>
                </pic:pic>
              </a:graphicData>
            </a:graphic>
          </wp:inline>
        </w:drawing>
      </w:r>
    </w:p>
    <w:p>
      <w:pPr>
        <w:pStyle w:val="FigureCaption"/>
        <w:jc w:val="center"/>
      </w:pPr>
      <w:r>
        <w:t>Anatomie du gros intestin et valve iléo-cæcale — diaporama de la prof.</w:t>
      </w:r>
    </w:p>
    <w:tbl>
      <w:tblPr>
        <w:tblW w:type="auto" w:w="0"/>
        <w:jc w:val="center"/>
        <w:tblLayout w:type="autofit"/>
        <w:tblLook w:firstColumn="1" w:firstRow="1" w:lastColumn="0" w:lastRow="0" w:noHBand="0" w:noVBand="1" w:val="04A0"/>
      </w:tblPr>
      <w:tblGrid>
        <w:gridCol w:w="10148"/>
      </w:tblGrid>
      <w:tr>
        <w:tc>
          <w:tcPr>
            <w:tcW w:type="dxa" w:w="10148"/>
            <w:shd w:fill="FFF2E2"/>
            <w:tcBorders>
              <w:top w:val="nil"/>
              <w:left w:val="single" w:sz="22" w:color="F2A65A"/>
              <w:bottom w:val="nil"/>
              <w:right w:val="nil"/>
            </w:tcBorders>
            <w:tcMar>
              <w:top w:w="90" w:type="dxa"/>
              <w:start w:w="130" w:type="dxa"/>
              <w:bottom w:w="90" w:type="dxa"/>
              <w:end w:w="130" w:type="dxa"/>
            </w:tcMar>
          </w:tcPr>
          <w:p>
            <w:pPr>
              <w:spacing w:after="40"/>
            </w:pPr>
            <w:r>
              <w:rPr>
                <w:rFonts w:ascii="Arial" w:hAnsi="Arial"/>
                <w:b/>
                <w:color w:val="F2A65A"/>
                <w:sz w:val="20"/>
              </w:rPr>
              <w:t>Complément Réussis ton IFSI</w:t>
            </w:r>
          </w:p>
          <w:p>
            <w:pPr>
              <w:spacing w:after="20"/>
            </w:pPr>
            <w:r>
              <w:rPr>
                <w:rFonts w:ascii="Arial" w:hAnsi="Arial"/>
                <w:sz w:val="18"/>
              </w:rPr>
              <w:t>Le cours Réussis ton IFSI montre également les différentes portions du côlon, le rectum et le canal anal.</w:t>
            </w:r>
          </w:p>
        </w:tc>
      </w:tr>
    </w:tbl>
    <w:p>
      <w:pPr>
        <w:spacing w:after="20"/>
      </w:pPr>
    </w:p>
    <w:p>
      <w:pPr>
        <w:pStyle w:val="Heading2"/>
      </w:pPr>
      <w:r>
        <w:t>7.2. Histologie</w:t>
      </w:r>
    </w:p>
    <w:p>
      <w:r>
        <w:rPr>
          <w:rFonts w:ascii="Arial" w:hAnsi="Arial"/>
        </w:rPr>
        <w:t>La muqueuse du gros intestin ne présente plus de villosités. Elle forme des glandes à mucus.</w:t>
      </w:r>
    </w:p>
    <w:p>
      <w:pPr>
        <w:pStyle w:val="Heading2"/>
      </w:pPr>
      <w:r>
        <w:t>7.3. Devenir du chyle dans le gros intestin</w:t>
      </w:r>
    </w:p>
    <w:p>
      <w:pPr>
        <w:pStyle w:val="Heading3"/>
      </w:pPr>
      <w:r>
        <w:t>Action du microbiote intestinal</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3969"/>
            <w:shd w:fill="23405A"/>
            <w:vAlign w:val="center"/>
            <w:tcMar>
              <w:top w:w="80" w:type="dxa"/>
              <w:start w:w="80" w:type="dxa"/>
              <w:bottom w:w="80" w:type="dxa"/>
              <w:end w:w="80" w:type="dxa"/>
            </w:tcMar>
          </w:tcPr>
          <w:p>
            <w:pPr>
              <w:jc w:val="center"/>
            </w:pPr>
            <w:r>
              <w:rPr>
                <w:rFonts w:ascii="Arial" w:hAnsi="Arial"/>
                <w:b/>
                <w:color w:val="FFFFFF"/>
                <w:sz w:val="17"/>
              </w:rPr>
              <w:t>Transformation</w:t>
            </w:r>
          </w:p>
        </w:tc>
        <w:tc>
          <w:tcPr>
            <w:tcW w:type="dxa" w:w="5102"/>
            <w:shd w:fill="23405A"/>
            <w:vAlign w:val="center"/>
            <w:tcMar>
              <w:top w:w="80" w:type="dxa"/>
              <w:start w:w="80" w:type="dxa"/>
              <w:bottom w:w="80" w:type="dxa"/>
              <w:end w:w="80" w:type="dxa"/>
            </w:tcMar>
          </w:tcPr>
          <w:p>
            <w:pPr>
              <w:jc w:val="center"/>
            </w:pPr>
            <w:r>
              <w:rPr>
                <w:rFonts w:ascii="Arial" w:hAnsi="Arial"/>
                <w:b/>
                <w:color w:val="FFFFFF"/>
                <w:sz w:val="17"/>
              </w:rPr>
              <w:t>Conséquence indiquée</w:t>
            </w:r>
          </w:p>
        </w:tc>
      </w:tr>
      <w:tr>
        <w:tc>
          <w:tcPr>
            <w:tcW w:type="dxa" w:w="3969"/>
            <w:shd w:fill="FFFFFF"/>
            <w:vAlign w:val="center"/>
            <w:tcMar>
              <w:top w:w="65" w:type="dxa"/>
              <w:start w:w="75" w:type="dxa"/>
              <w:bottom w:w="65" w:type="dxa"/>
              <w:end w:w="75" w:type="dxa"/>
            </w:tcMar>
          </w:tcPr>
          <w:p>
            <w:r>
              <w:rPr>
                <w:rFonts w:ascii="Arial" w:hAnsi="Arial"/>
                <w:sz w:val="17"/>
              </w:rPr>
              <w:t>Fermentation des glucides restants</w:t>
            </w:r>
          </w:p>
        </w:tc>
        <w:tc>
          <w:tcPr>
            <w:tcW w:type="dxa" w:w="5102"/>
            <w:shd w:fill="FFFFFF"/>
            <w:vAlign w:val="center"/>
            <w:tcMar>
              <w:top w:w="65" w:type="dxa"/>
              <w:start w:w="75" w:type="dxa"/>
              <w:bottom w:w="65" w:type="dxa"/>
              <w:end w:w="75" w:type="dxa"/>
            </w:tcMar>
          </w:tcPr>
          <w:p>
            <w:r>
              <w:rPr>
                <w:rFonts w:ascii="Arial" w:hAnsi="Arial"/>
                <w:sz w:val="17"/>
              </w:rPr>
              <w:t>Dégagement de CO₂ et de méthane → flatulences.</w:t>
            </w:r>
          </w:p>
        </w:tc>
      </w:tr>
      <w:tr>
        <w:tc>
          <w:tcPr>
            <w:tcW w:type="dxa" w:w="3969"/>
            <w:shd w:fill="F7F9FB"/>
            <w:vAlign w:val="center"/>
            <w:tcMar>
              <w:top w:w="65" w:type="dxa"/>
              <w:start w:w="75" w:type="dxa"/>
              <w:bottom w:w="65" w:type="dxa"/>
              <w:end w:w="75" w:type="dxa"/>
            </w:tcMar>
          </w:tcPr>
          <w:p>
            <w:r>
              <w:rPr>
                <w:rFonts w:ascii="Arial" w:hAnsi="Arial"/>
                <w:sz w:val="17"/>
              </w:rPr>
              <w:t>Transformation des acides aminés restants</w:t>
            </w:r>
          </w:p>
        </w:tc>
        <w:tc>
          <w:tcPr>
            <w:tcW w:type="dxa" w:w="5102"/>
            <w:shd w:fill="F7F9FB"/>
            <w:vAlign w:val="center"/>
            <w:tcMar>
              <w:top w:w="65" w:type="dxa"/>
              <w:start w:w="75" w:type="dxa"/>
              <w:bottom w:w="65" w:type="dxa"/>
              <w:end w:w="75" w:type="dxa"/>
            </w:tcMar>
          </w:tcPr>
          <w:p>
            <w:r>
              <w:rPr>
                <w:rFonts w:ascii="Arial" w:hAnsi="Arial"/>
                <w:sz w:val="17"/>
              </w:rPr>
              <w:t>Formation de substances diverses contribuant à l’odeur caractéristique des fèces.</w:t>
            </w:r>
          </w:p>
        </w:tc>
      </w:tr>
    </w:tbl>
    <w:p>
      <w:pPr>
        <w:spacing w:after="20"/>
      </w:pPr>
    </w:p>
    <w:p>
      <w:pPr>
        <w:pStyle w:val="Heading3"/>
      </w:pPr>
      <w:r>
        <w:t>Absorption de l’eau et formation des fèces</w:t>
      </w:r>
    </w:p>
    <w:p>
      <w:r>
        <w:rPr>
          <w:rFonts w:ascii="Arial" w:hAnsi="Arial"/>
        </w:rPr>
        <w:t>Des cellules absorbent l’eau du chyle : les fèces deviennent de plus en plus solides au fur et à mesure de leur progression vers le rectum. Le mucus joue un rôle de lubrifiant.</w:t>
      </w:r>
    </w:p>
    <w:p>
      <w:pPr>
        <w:jc w:val="center"/>
      </w:pPr>
      <w:r>
        <w:drawing>
          <wp:inline xmlns:a="http://schemas.openxmlformats.org/drawingml/2006/main" xmlns:pic="http://schemas.openxmlformats.org/drawingml/2006/picture">
            <wp:extent cx="4932000" cy="3365787"/>
            <wp:docPr id="13" name="Picture 13"/>
            <wp:cNvGraphicFramePr>
              <a:graphicFrameLocks noChangeAspect="1"/>
            </wp:cNvGraphicFramePr>
            <a:graphic>
              <a:graphicData uri="http://schemas.openxmlformats.org/drawingml/2006/picture">
                <pic:pic>
                  <pic:nvPicPr>
                    <pic:cNvPr id="0" name="slide_52.png"/>
                    <pic:cNvPicPr/>
                  </pic:nvPicPr>
                  <pic:blipFill>
                    <a:blip r:embed="rId23"/>
                    <a:stretch>
                      <a:fillRect/>
                    </a:stretch>
                  </pic:blipFill>
                  <pic:spPr>
                    <a:xfrm>
                      <a:off x="0" y="0"/>
                      <a:ext cx="4932000" cy="3365787"/>
                    </a:xfrm>
                    <a:prstGeom prst="rect"/>
                  </pic:spPr>
                </pic:pic>
              </a:graphicData>
            </a:graphic>
          </wp:inline>
        </w:drawing>
      </w:r>
    </w:p>
    <w:p>
      <w:pPr>
        <w:pStyle w:val="FigureCaption"/>
        <w:jc w:val="center"/>
      </w:pPr>
      <w:r>
        <w:t>Absorption d’eau dans le gros intestin et cellules à mucus — diaporama de la prof.</w:t>
      </w:r>
    </w:p>
    <w:p>
      <w:pPr>
        <w:pStyle w:val="Heading2"/>
      </w:pPr>
      <w:r>
        <w:t>7.4. Réflexe de défécation</w:t>
      </w:r>
    </w:p>
    <w:p>
      <w:pPr>
        <w:pStyle w:val="ListBullet"/>
        <w:spacing w:after="30"/>
        <w:ind w:left="198" w:hanging="102"/>
      </w:pPr>
      <w:r>
        <w:rPr>
          <w:rFonts w:ascii="Arial" w:hAnsi="Arial"/>
        </w:rPr>
        <w:t>Les matières fécales sont stockées dans le côlon descendant et le sigmoïde avant de descendre dans le rectum.</w:t>
      </w:r>
    </w:p>
    <w:p>
      <w:pPr>
        <w:pStyle w:val="ListBullet"/>
        <w:spacing w:after="30"/>
        <w:ind w:left="198" w:hanging="102"/>
      </w:pPr>
      <w:r>
        <w:rPr>
          <w:rFonts w:ascii="Arial" w:hAnsi="Arial"/>
        </w:rPr>
        <w:t>La distension de la paroi rectale déclenche le réflexe de défécation.</w:t>
      </w:r>
    </w:p>
    <w:p>
      <w:pPr>
        <w:pStyle w:val="ListBullet"/>
        <w:spacing w:after="30"/>
        <w:ind w:left="198" w:hanging="102"/>
      </w:pPr>
      <w:r>
        <w:rPr>
          <w:rFonts w:ascii="Arial" w:hAnsi="Arial"/>
        </w:rPr>
        <w:t>L’anus est maintenu fermé par deux sphincters : l’un involontaire et l’autre volontaire.</w:t>
      </w:r>
    </w:p>
    <w:p>
      <w:pPr>
        <w:jc w:val="center"/>
      </w:pPr>
      <w:r>
        <w:drawing>
          <wp:inline xmlns:a="http://schemas.openxmlformats.org/drawingml/2006/main" xmlns:pic="http://schemas.openxmlformats.org/drawingml/2006/picture">
            <wp:extent cx="4788000" cy="3954888"/>
            <wp:docPr id="14" name="Picture 14"/>
            <wp:cNvGraphicFramePr>
              <a:graphicFrameLocks noChangeAspect="1"/>
            </wp:cNvGraphicFramePr>
            <a:graphic>
              <a:graphicData uri="http://schemas.openxmlformats.org/drawingml/2006/picture">
                <pic:pic>
                  <pic:nvPicPr>
                    <pic:cNvPr id="0" name="slide_53.png"/>
                    <pic:cNvPicPr/>
                  </pic:nvPicPr>
                  <pic:blipFill>
                    <a:blip r:embed="rId24"/>
                    <a:stretch>
                      <a:fillRect/>
                    </a:stretch>
                  </pic:blipFill>
                  <pic:spPr>
                    <a:xfrm>
                      <a:off x="0" y="0"/>
                      <a:ext cx="4788000" cy="3954888"/>
                    </a:xfrm>
                    <a:prstGeom prst="rect"/>
                  </pic:spPr>
                </pic:pic>
              </a:graphicData>
            </a:graphic>
          </wp:inline>
        </w:drawing>
      </w:r>
    </w:p>
    <w:p>
      <w:pPr>
        <w:pStyle w:val="FigureCaption"/>
        <w:jc w:val="center"/>
      </w:pPr>
      <w:r>
        <w:t>Rectum, canal anal et sphincters impliqués dans la défécation — diaporama de la prof.</w:t>
      </w:r>
    </w:p>
    <w:p>
      <w:r>
        <w:br w:type="page"/>
      </w:r>
    </w:p>
    <w:p>
      <w:pPr>
        <w:pStyle w:val="Heading1"/>
        <w:pBdr>
          <w:bottom w:val="single" w:sz="18" w:space="2" w:color="0B8FA3"/>
        </w:pBdr>
      </w:pPr>
      <w:r>
        <w:t>8. Synthèse générale</w:t>
      </w:r>
    </w:p>
    <w:p>
      <w:pPr>
        <w:pStyle w:val="Heading2"/>
      </w:pPr>
      <w:r>
        <w:t>8.1. Fonction principale de chaque région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6"/>
              </w:rPr>
              <w:t>Organe / région</w:t>
            </w:r>
          </w:p>
        </w:tc>
        <w:tc>
          <w:tcPr>
            <w:tcW w:type="dxa" w:w="6236"/>
            <w:shd w:fill="23405A"/>
            <w:vAlign w:val="center"/>
            <w:tcMar>
              <w:top w:w="80" w:type="dxa"/>
              <w:start w:w="80" w:type="dxa"/>
              <w:bottom w:w="80" w:type="dxa"/>
              <w:end w:w="80" w:type="dxa"/>
            </w:tcMar>
          </w:tcPr>
          <w:p>
            <w:pPr>
              <w:jc w:val="center"/>
            </w:pPr>
            <w:r>
              <w:rPr>
                <w:rFonts w:ascii="Arial" w:hAnsi="Arial"/>
                <w:b/>
                <w:color w:val="FFFFFF"/>
                <w:sz w:val="16"/>
              </w:rPr>
              <w:t>Fonctions principales indiquées dans le diaporama</w:t>
            </w:r>
          </w:p>
        </w:tc>
      </w:tr>
      <w:tr>
        <w:tc>
          <w:tcPr>
            <w:tcW w:type="dxa" w:w="2835"/>
            <w:shd w:fill="FFFFFF"/>
            <w:vAlign w:val="center"/>
            <w:tcMar>
              <w:top w:w="65" w:type="dxa"/>
              <w:start w:w="75" w:type="dxa"/>
              <w:bottom w:w="65" w:type="dxa"/>
              <w:end w:w="75" w:type="dxa"/>
            </w:tcMar>
          </w:tcPr>
          <w:p>
            <w:r>
              <w:rPr>
                <w:rFonts w:ascii="Arial" w:hAnsi="Arial"/>
                <w:sz w:val="16"/>
              </w:rPr>
              <w:t>Bouche + organes associés</w:t>
            </w:r>
          </w:p>
        </w:tc>
        <w:tc>
          <w:tcPr>
            <w:tcW w:type="dxa" w:w="6236"/>
            <w:shd w:fill="FFFFFF"/>
            <w:vAlign w:val="center"/>
            <w:tcMar>
              <w:top w:w="65" w:type="dxa"/>
              <w:start w:w="75" w:type="dxa"/>
              <w:bottom w:w="65" w:type="dxa"/>
              <w:end w:w="75" w:type="dxa"/>
            </w:tcMar>
          </w:tcPr>
          <w:p>
            <w:r>
              <w:rPr>
                <w:rFonts w:ascii="Arial" w:hAnsi="Arial"/>
                <w:sz w:val="16"/>
              </w:rPr>
              <w:t>Ingestion ; propulsion ; digestion mécanique par dents et langue ; digestion chimique par la salive.</w:t>
            </w:r>
          </w:p>
        </w:tc>
      </w:tr>
      <w:tr>
        <w:tc>
          <w:tcPr>
            <w:tcW w:type="dxa" w:w="2835"/>
            <w:shd w:fill="F7F9FB"/>
            <w:vAlign w:val="center"/>
            <w:tcMar>
              <w:top w:w="65" w:type="dxa"/>
              <w:start w:w="75" w:type="dxa"/>
              <w:bottom w:w="65" w:type="dxa"/>
              <w:end w:w="75" w:type="dxa"/>
            </w:tcMar>
          </w:tcPr>
          <w:p>
            <w:r>
              <w:rPr>
                <w:rFonts w:ascii="Arial" w:hAnsi="Arial"/>
                <w:sz w:val="16"/>
              </w:rPr>
              <w:t>Pharynx + œsophage</w:t>
            </w:r>
          </w:p>
        </w:tc>
        <w:tc>
          <w:tcPr>
            <w:tcW w:type="dxa" w:w="6236"/>
            <w:shd w:fill="F7F9FB"/>
            <w:vAlign w:val="center"/>
            <w:tcMar>
              <w:top w:w="65" w:type="dxa"/>
              <w:start w:w="75" w:type="dxa"/>
              <w:bottom w:w="65" w:type="dxa"/>
              <w:end w:w="75" w:type="dxa"/>
            </w:tcMar>
          </w:tcPr>
          <w:p>
            <w:r>
              <w:rPr>
                <w:rFonts w:ascii="Arial" w:hAnsi="Arial"/>
                <w:sz w:val="16"/>
              </w:rPr>
              <w:t>Propulsion du bol alimentaire vers l’estomac par ondes péristaltiques.</w:t>
            </w:r>
          </w:p>
        </w:tc>
      </w:tr>
      <w:tr>
        <w:tc>
          <w:tcPr>
            <w:tcW w:type="dxa" w:w="2835"/>
            <w:shd w:fill="FFFFFF"/>
            <w:vAlign w:val="center"/>
            <w:tcMar>
              <w:top w:w="65" w:type="dxa"/>
              <w:start w:w="75" w:type="dxa"/>
              <w:bottom w:w="65" w:type="dxa"/>
              <w:end w:w="75" w:type="dxa"/>
            </w:tcMar>
          </w:tcPr>
          <w:p>
            <w:r>
              <w:rPr>
                <w:rFonts w:ascii="Arial" w:hAnsi="Arial"/>
                <w:sz w:val="16"/>
              </w:rPr>
              <w:t>Estomac</w:t>
            </w:r>
          </w:p>
        </w:tc>
        <w:tc>
          <w:tcPr>
            <w:tcW w:type="dxa" w:w="6236"/>
            <w:shd w:fill="FFFFFF"/>
            <w:vAlign w:val="center"/>
            <w:tcMar>
              <w:top w:w="65" w:type="dxa"/>
              <w:start w:w="75" w:type="dxa"/>
              <w:bottom w:w="65" w:type="dxa"/>
              <w:end w:w="75" w:type="dxa"/>
            </w:tcMar>
          </w:tcPr>
          <w:p>
            <w:r>
              <w:rPr>
                <w:rFonts w:ascii="Arial" w:hAnsi="Arial"/>
                <w:sz w:val="16"/>
              </w:rPr>
              <w:t>Digestion mécanique ; digestion chimique par le suc gastrique et la pepsine ; absorption limitée de certaines substances liposolubles.</w:t>
            </w:r>
          </w:p>
        </w:tc>
      </w:tr>
      <w:tr>
        <w:tc>
          <w:tcPr>
            <w:tcW w:type="dxa" w:w="2835"/>
            <w:shd w:fill="F7F9FB"/>
            <w:vAlign w:val="center"/>
            <w:tcMar>
              <w:top w:w="65" w:type="dxa"/>
              <w:start w:w="75" w:type="dxa"/>
              <w:bottom w:w="65" w:type="dxa"/>
              <w:end w:w="75" w:type="dxa"/>
            </w:tcMar>
          </w:tcPr>
          <w:p>
            <w:r>
              <w:rPr>
                <w:rFonts w:ascii="Arial" w:hAnsi="Arial"/>
                <w:sz w:val="16"/>
              </w:rPr>
              <w:t>Intestin grêle + organes annexes</w:t>
            </w:r>
          </w:p>
        </w:tc>
        <w:tc>
          <w:tcPr>
            <w:tcW w:type="dxa" w:w="6236"/>
            <w:shd w:fill="F7F9FB"/>
            <w:vAlign w:val="center"/>
            <w:tcMar>
              <w:top w:w="65" w:type="dxa"/>
              <w:start w:w="75" w:type="dxa"/>
              <w:bottom w:w="65" w:type="dxa"/>
              <w:end w:w="75" w:type="dxa"/>
            </w:tcMar>
          </w:tcPr>
          <w:p>
            <w:r>
              <w:rPr>
                <w:rFonts w:ascii="Arial" w:hAnsi="Arial"/>
                <w:sz w:val="16"/>
              </w:rPr>
              <w:t>Digestion mécanique par segmentation ; propulsion ; digestion chimique ; absorption des produits de dégradation des protéines, lipides, acides nucléiques, glucides, vitamines, électrolytes et eau.</w:t>
            </w:r>
          </w:p>
        </w:tc>
      </w:tr>
      <w:tr>
        <w:tc>
          <w:tcPr>
            <w:tcW w:type="dxa" w:w="2835"/>
            <w:shd w:fill="FFFFFF"/>
            <w:vAlign w:val="center"/>
            <w:tcMar>
              <w:top w:w="65" w:type="dxa"/>
              <w:start w:w="75" w:type="dxa"/>
              <w:bottom w:w="65" w:type="dxa"/>
              <w:end w:w="75" w:type="dxa"/>
            </w:tcMar>
          </w:tcPr>
          <w:p>
            <w:r>
              <w:rPr>
                <w:rFonts w:ascii="Arial" w:hAnsi="Arial"/>
                <w:sz w:val="16"/>
              </w:rPr>
              <w:t>Gros intestin</w:t>
            </w:r>
          </w:p>
        </w:tc>
        <w:tc>
          <w:tcPr>
            <w:tcW w:type="dxa" w:w="6236"/>
            <w:shd w:fill="FFFFFF"/>
            <w:vAlign w:val="center"/>
            <w:tcMar>
              <w:top w:w="65" w:type="dxa"/>
              <w:start w:w="75" w:type="dxa"/>
              <w:bottom w:w="65" w:type="dxa"/>
              <w:end w:w="75" w:type="dxa"/>
            </w:tcMar>
          </w:tcPr>
          <w:p>
            <w:r>
              <w:rPr>
                <w:rFonts w:ascii="Arial" w:hAnsi="Arial"/>
                <w:sz w:val="16"/>
              </w:rPr>
              <w:t>Digestion chimique par les bactéries intestinales ; absorption de l’eau résiduelle ; propulsion des fèces vers le rectum ; défécation réflexe.</w:t>
            </w:r>
          </w:p>
        </w:tc>
      </w:tr>
    </w:tbl>
    <w:p>
      <w:pPr>
        <w:spacing w:after="20"/>
      </w:pPr>
    </w:p>
    <w:p>
      <w:pPr>
        <w:pStyle w:val="Heading2"/>
      </w:pPr>
      <w:r>
        <w:t>8.2. Fil conducteur de la digestion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551"/>
            <w:shd w:fill="23405A"/>
            <w:vAlign w:val="center"/>
            <w:tcMar>
              <w:top w:w="80" w:type="dxa"/>
              <w:start w:w="80" w:type="dxa"/>
              <w:bottom w:w="80" w:type="dxa"/>
              <w:end w:w="80" w:type="dxa"/>
            </w:tcMar>
          </w:tcPr>
          <w:p>
            <w:pPr>
              <w:jc w:val="center"/>
            </w:pPr>
            <w:r>
              <w:rPr>
                <w:rFonts w:ascii="Arial" w:hAnsi="Arial"/>
                <w:b/>
                <w:color w:val="FFFFFF"/>
                <w:sz w:val="16"/>
              </w:rPr>
              <w:t>Étape</w:t>
            </w:r>
          </w:p>
        </w:tc>
        <w:tc>
          <w:tcPr>
            <w:tcW w:type="dxa" w:w="6520"/>
            <w:shd w:fill="23405A"/>
            <w:vAlign w:val="center"/>
            <w:tcMar>
              <w:top w:w="80" w:type="dxa"/>
              <w:start w:w="80" w:type="dxa"/>
              <w:bottom w:w="80" w:type="dxa"/>
              <w:end w:w="80" w:type="dxa"/>
            </w:tcMar>
          </w:tcPr>
          <w:p>
            <w:pPr>
              <w:jc w:val="center"/>
            </w:pPr>
            <w:r>
              <w:rPr>
                <w:rFonts w:ascii="Arial" w:hAnsi="Arial"/>
                <w:b/>
                <w:color w:val="FFFFFF"/>
                <w:sz w:val="16"/>
              </w:rPr>
              <w:t>Contenu / transformation clé</w:t>
            </w:r>
          </w:p>
        </w:tc>
      </w:tr>
      <w:tr>
        <w:tc>
          <w:tcPr>
            <w:tcW w:type="dxa" w:w="2551"/>
            <w:shd w:fill="FFFFFF"/>
            <w:vAlign w:val="center"/>
            <w:tcMar>
              <w:top w:w="65" w:type="dxa"/>
              <w:start w:w="75" w:type="dxa"/>
              <w:bottom w:w="65" w:type="dxa"/>
              <w:end w:w="75" w:type="dxa"/>
            </w:tcMar>
          </w:tcPr>
          <w:p>
            <w:r>
              <w:rPr>
                <w:rFonts w:ascii="Arial" w:hAnsi="Arial"/>
                <w:sz w:val="16"/>
              </w:rPr>
              <w:t>Bouche</w:t>
            </w:r>
          </w:p>
        </w:tc>
        <w:tc>
          <w:tcPr>
            <w:tcW w:type="dxa" w:w="6520"/>
            <w:shd w:fill="FFFFFF"/>
            <w:vAlign w:val="center"/>
            <w:tcMar>
              <w:top w:w="65" w:type="dxa"/>
              <w:start w:w="75" w:type="dxa"/>
              <w:bottom w:w="65" w:type="dxa"/>
              <w:end w:w="75" w:type="dxa"/>
            </w:tcMar>
          </w:tcPr>
          <w:p>
            <w:r>
              <w:rPr>
                <w:rFonts w:ascii="Arial" w:hAnsi="Arial"/>
                <w:sz w:val="16"/>
              </w:rPr>
              <w:t>Aliments → mastication + salive → bol alimentaire</w:t>
            </w:r>
          </w:p>
        </w:tc>
      </w:tr>
      <w:tr>
        <w:tc>
          <w:tcPr>
            <w:tcW w:type="dxa" w:w="2551"/>
            <w:shd w:fill="F7F9FB"/>
            <w:vAlign w:val="center"/>
            <w:tcMar>
              <w:top w:w="65" w:type="dxa"/>
              <w:start w:w="75" w:type="dxa"/>
              <w:bottom w:w="65" w:type="dxa"/>
              <w:end w:w="75" w:type="dxa"/>
            </w:tcMar>
          </w:tcPr>
          <w:p>
            <w:r>
              <w:rPr>
                <w:rFonts w:ascii="Arial" w:hAnsi="Arial"/>
                <w:sz w:val="16"/>
              </w:rPr>
              <w:t>Œsophage</w:t>
            </w:r>
          </w:p>
        </w:tc>
        <w:tc>
          <w:tcPr>
            <w:tcW w:type="dxa" w:w="6520"/>
            <w:shd w:fill="F7F9FB"/>
            <w:vAlign w:val="center"/>
            <w:tcMar>
              <w:top w:w="65" w:type="dxa"/>
              <w:start w:w="75" w:type="dxa"/>
              <w:bottom w:w="65" w:type="dxa"/>
              <w:end w:w="75" w:type="dxa"/>
            </w:tcMar>
          </w:tcPr>
          <w:p>
            <w:r>
              <w:rPr>
                <w:rFonts w:ascii="Arial" w:hAnsi="Arial"/>
                <w:sz w:val="16"/>
              </w:rPr>
              <w:t>Bol alimentaire → transport péristaltique</w:t>
            </w:r>
          </w:p>
        </w:tc>
      </w:tr>
      <w:tr>
        <w:tc>
          <w:tcPr>
            <w:tcW w:type="dxa" w:w="2551"/>
            <w:shd w:fill="FFFFFF"/>
            <w:vAlign w:val="center"/>
            <w:tcMar>
              <w:top w:w="65" w:type="dxa"/>
              <w:start w:w="75" w:type="dxa"/>
              <w:bottom w:w="65" w:type="dxa"/>
              <w:end w:w="75" w:type="dxa"/>
            </w:tcMar>
          </w:tcPr>
          <w:p>
            <w:r>
              <w:rPr>
                <w:rFonts w:ascii="Arial" w:hAnsi="Arial"/>
                <w:sz w:val="16"/>
              </w:rPr>
              <w:t>Estomac</w:t>
            </w:r>
          </w:p>
        </w:tc>
        <w:tc>
          <w:tcPr>
            <w:tcW w:type="dxa" w:w="6520"/>
            <w:shd w:fill="FFFFFF"/>
            <w:vAlign w:val="center"/>
            <w:tcMar>
              <w:top w:w="65" w:type="dxa"/>
              <w:start w:w="75" w:type="dxa"/>
              <w:bottom w:w="65" w:type="dxa"/>
              <w:end w:w="75" w:type="dxa"/>
            </w:tcMar>
          </w:tcPr>
          <w:p>
            <w:r>
              <w:rPr>
                <w:rFonts w:ascii="Arial" w:hAnsi="Arial"/>
                <w:sz w:val="16"/>
              </w:rPr>
              <w:t>Bol alimentaire + suc gastrique + brassage → chyme</w:t>
            </w:r>
          </w:p>
        </w:tc>
      </w:tr>
      <w:tr>
        <w:tc>
          <w:tcPr>
            <w:tcW w:type="dxa" w:w="2551"/>
            <w:shd w:fill="F7F9FB"/>
            <w:vAlign w:val="center"/>
            <w:tcMar>
              <w:top w:w="65" w:type="dxa"/>
              <w:start w:w="75" w:type="dxa"/>
              <w:bottom w:w="65" w:type="dxa"/>
              <w:end w:w="75" w:type="dxa"/>
            </w:tcMar>
          </w:tcPr>
          <w:p>
            <w:r>
              <w:rPr>
                <w:rFonts w:ascii="Arial" w:hAnsi="Arial"/>
                <w:sz w:val="16"/>
              </w:rPr>
              <w:t>Duodénum</w:t>
            </w:r>
          </w:p>
        </w:tc>
        <w:tc>
          <w:tcPr>
            <w:tcW w:type="dxa" w:w="6520"/>
            <w:shd w:fill="F7F9FB"/>
            <w:vAlign w:val="center"/>
            <w:tcMar>
              <w:top w:w="65" w:type="dxa"/>
              <w:start w:w="75" w:type="dxa"/>
              <w:bottom w:w="65" w:type="dxa"/>
              <w:end w:w="75" w:type="dxa"/>
            </w:tcMar>
          </w:tcPr>
          <w:p>
            <w:r>
              <w:rPr>
                <w:rFonts w:ascii="Arial" w:hAnsi="Arial"/>
                <w:sz w:val="16"/>
              </w:rPr>
              <w:t>Chyme + suc intestinal + sécrétions pancréatiques + bile → nutriments / chyle</w:t>
            </w:r>
          </w:p>
        </w:tc>
      </w:tr>
      <w:tr>
        <w:tc>
          <w:tcPr>
            <w:tcW w:type="dxa" w:w="2551"/>
            <w:shd w:fill="FFFFFF"/>
            <w:vAlign w:val="center"/>
            <w:tcMar>
              <w:top w:w="65" w:type="dxa"/>
              <w:start w:w="75" w:type="dxa"/>
              <w:bottom w:w="65" w:type="dxa"/>
              <w:end w:w="75" w:type="dxa"/>
            </w:tcMar>
          </w:tcPr>
          <w:p>
            <w:r>
              <w:rPr>
                <w:rFonts w:ascii="Arial" w:hAnsi="Arial"/>
                <w:sz w:val="16"/>
              </w:rPr>
              <w:t>Jéjunum–iléon</w:t>
            </w:r>
          </w:p>
        </w:tc>
        <w:tc>
          <w:tcPr>
            <w:tcW w:type="dxa" w:w="6520"/>
            <w:shd w:fill="FFFFFF"/>
            <w:vAlign w:val="center"/>
            <w:tcMar>
              <w:top w:w="65" w:type="dxa"/>
              <w:start w:w="75" w:type="dxa"/>
              <w:bottom w:w="65" w:type="dxa"/>
              <w:end w:w="75" w:type="dxa"/>
            </w:tcMar>
          </w:tcPr>
          <w:p>
            <w:r>
              <w:rPr>
                <w:rFonts w:ascii="Arial" w:hAnsi="Arial"/>
                <w:sz w:val="16"/>
              </w:rPr>
              <w:t>Absorption des nutriments vers le sang ou la lymphe</w:t>
            </w:r>
          </w:p>
        </w:tc>
      </w:tr>
      <w:tr>
        <w:tc>
          <w:tcPr>
            <w:tcW w:type="dxa" w:w="2551"/>
            <w:shd w:fill="F7F9FB"/>
            <w:vAlign w:val="center"/>
            <w:tcMar>
              <w:top w:w="65" w:type="dxa"/>
              <w:start w:w="75" w:type="dxa"/>
              <w:bottom w:w="65" w:type="dxa"/>
              <w:end w:w="75" w:type="dxa"/>
            </w:tcMar>
          </w:tcPr>
          <w:p>
            <w:r>
              <w:rPr>
                <w:rFonts w:ascii="Arial" w:hAnsi="Arial"/>
                <w:sz w:val="16"/>
              </w:rPr>
              <w:t>Gros intestin</w:t>
            </w:r>
          </w:p>
        </w:tc>
        <w:tc>
          <w:tcPr>
            <w:tcW w:type="dxa" w:w="6520"/>
            <w:shd w:fill="F7F9FB"/>
            <w:vAlign w:val="center"/>
            <w:tcMar>
              <w:top w:w="65" w:type="dxa"/>
              <w:start w:w="75" w:type="dxa"/>
              <w:bottom w:w="65" w:type="dxa"/>
              <w:end w:w="75" w:type="dxa"/>
            </w:tcMar>
          </w:tcPr>
          <w:p>
            <w:r>
              <w:rPr>
                <w:rFonts w:ascii="Arial" w:hAnsi="Arial"/>
                <w:sz w:val="16"/>
              </w:rPr>
              <w:t>Action bactérienne + réabsorption d’eau → fèces</w:t>
            </w:r>
          </w:p>
        </w:tc>
      </w:tr>
      <w:tr>
        <w:tc>
          <w:tcPr>
            <w:tcW w:type="dxa" w:w="2551"/>
            <w:shd w:fill="FFFFFF"/>
            <w:vAlign w:val="center"/>
            <w:tcMar>
              <w:top w:w="65" w:type="dxa"/>
              <w:start w:w="75" w:type="dxa"/>
              <w:bottom w:w="65" w:type="dxa"/>
              <w:end w:w="75" w:type="dxa"/>
            </w:tcMar>
          </w:tcPr>
          <w:p>
            <w:r>
              <w:rPr>
                <w:rFonts w:ascii="Arial" w:hAnsi="Arial"/>
                <w:sz w:val="16"/>
              </w:rPr>
              <w:t>Rectum / anus</w:t>
            </w:r>
          </w:p>
        </w:tc>
        <w:tc>
          <w:tcPr>
            <w:tcW w:type="dxa" w:w="6520"/>
            <w:shd w:fill="FFFFFF"/>
            <w:vAlign w:val="center"/>
            <w:tcMar>
              <w:top w:w="65" w:type="dxa"/>
              <w:start w:w="75" w:type="dxa"/>
              <w:bottom w:w="65" w:type="dxa"/>
              <w:end w:w="75" w:type="dxa"/>
            </w:tcMar>
          </w:tcPr>
          <w:p>
            <w:r>
              <w:rPr>
                <w:rFonts w:ascii="Arial" w:hAnsi="Arial"/>
                <w:sz w:val="16"/>
              </w:rPr>
              <w:t>Stockage puis défécation</w:t>
            </w:r>
          </w:p>
        </w:tc>
      </w:tr>
    </w:tbl>
    <w:p>
      <w:pPr>
        <w:spacing w:after="20"/>
      </w:pPr>
    </w:p>
    <w:p>
      <w:pPr>
        <w:pStyle w:val="Heading2"/>
      </w:pPr>
      <w:r>
        <w:t>8.3. Mots-clés à savoir définir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35"/>
            <w:shd w:fill="23405A"/>
            <w:vAlign w:val="center"/>
            <w:tcMar>
              <w:top w:w="80" w:type="dxa"/>
              <w:start w:w="80" w:type="dxa"/>
              <w:bottom w:w="80" w:type="dxa"/>
              <w:end w:w="80" w:type="dxa"/>
            </w:tcMar>
          </w:tcPr>
          <w:p>
            <w:pPr>
              <w:jc w:val="center"/>
            </w:pPr>
            <w:r>
              <w:rPr>
                <w:rFonts w:ascii="Arial" w:hAnsi="Arial"/>
                <w:b/>
                <w:color w:val="FFFFFF"/>
                <w:sz w:val="16"/>
              </w:rPr>
              <w:t>Terme</w:t>
            </w:r>
          </w:p>
        </w:tc>
        <w:tc>
          <w:tcPr>
            <w:tcW w:type="dxa" w:w="6236"/>
            <w:shd w:fill="23405A"/>
            <w:vAlign w:val="center"/>
            <w:tcMar>
              <w:top w:w="80" w:type="dxa"/>
              <w:start w:w="80" w:type="dxa"/>
              <w:bottom w:w="80" w:type="dxa"/>
              <w:end w:w="80" w:type="dxa"/>
            </w:tcMar>
          </w:tcPr>
          <w:p>
            <w:pPr>
              <w:jc w:val="center"/>
            </w:pPr>
            <w:r>
              <w:rPr>
                <w:rFonts w:ascii="Arial" w:hAnsi="Arial"/>
                <w:b/>
                <w:color w:val="FFFFFF"/>
                <w:sz w:val="16"/>
              </w:rPr>
              <w:t>Définition tirée / reformulée des documents</w:t>
            </w:r>
          </w:p>
        </w:tc>
      </w:tr>
      <w:tr>
        <w:tc>
          <w:tcPr>
            <w:tcW w:type="dxa" w:w="2835"/>
            <w:shd w:fill="FFFFFF"/>
            <w:vAlign w:val="center"/>
            <w:tcMar>
              <w:top w:w="65" w:type="dxa"/>
              <w:start w:w="75" w:type="dxa"/>
              <w:bottom w:w="65" w:type="dxa"/>
              <w:end w:w="75" w:type="dxa"/>
            </w:tcMar>
          </w:tcPr>
          <w:p>
            <w:r>
              <w:rPr>
                <w:rFonts w:ascii="Arial" w:hAnsi="Arial"/>
                <w:sz w:val="16"/>
              </w:rPr>
              <w:t>Digestion</w:t>
            </w:r>
          </w:p>
        </w:tc>
        <w:tc>
          <w:tcPr>
            <w:tcW w:type="dxa" w:w="6236"/>
            <w:shd w:fill="FFFFFF"/>
            <w:vAlign w:val="center"/>
            <w:tcMar>
              <w:top w:w="65" w:type="dxa"/>
              <w:start w:w="75" w:type="dxa"/>
              <w:bottom w:w="65" w:type="dxa"/>
              <w:end w:w="75" w:type="dxa"/>
            </w:tcMar>
          </w:tcPr>
          <w:p>
            <w:r>
              <w:rPr>
                <w:rFonts w:ascii="Arial" w:hAnsi="Arial"/>
                <w:sz w:val="16"/>
              </w:rPr>
              <w:t>Transformations mécaniques et chimiques réduisant les grosses molécules en nutriments.</w:t>
            </w:r>
          </w:p>
        </w:tc>
      </w:tr>
      <w:tr>
        <w:tc>
          <w:tcPr>
            <w:tcW w:type="dxa" w:w="2835"/>
            <w:shd w:fill="F7F9FB"/>
            <w:vAlign w:val="center"/>
            <w:tcMar>
              <w:top w:w="65" w:type="dxa"/>
              <w:start w:w="75" w:type="dxa"/>
              <w:bottom w:w="65" w:type="dxa"/>
              <w:end w:w="75" w:type="dxa"/>
            </w:tcMar>
          </w:tcPr>
          <w:p>
            <w:r>
              <w:rPr>
                <w:rFonts w:ascii="Arial" w:hAnsi="Arial"/>
                <w:sz w:val="16"/>
              </w:rPr>
              <w:t>Péristaltisme</w:t>
            </w:r>
          </w:p>
        </w:tc>
        <w:tc>
          <w:tcPr>
            <w:tcW w:type="dxa" w:w="6236"/>
            <w:shd w:fill="F7F9FB"/>
            <w:vAlign w:val="center"/>
            <w:tcMar>
              <w:top w:w="65" w:type="dxa"/>
              <w:start w:w="75" w:type="dxa"/>
              <w:bottom w:w="65" w:type="dxa"/>
              <w:end w:w="75" w:type="dxa"/>
            </w:tcMar>
          </w:tcPr>
          <w:p>
            <w:r>
              <w:rPr>
                <w:rFonts w:ascii="Arial" w:hAnsi="Arial"/>
                <w:sz w:val="16"/>
              </w:rPr>
              <w:t>Contractions involontaires faisant avancer le contenu d’un organe creux.</w:t>
            </w:r>
          </w:p>
        </w:tc>
      </w:tr>
      <w:tr>
        <w:tc>
          <w:tcPr>
            <w:tcW w:type="dxa" w:w="2835"/>
            <w:shd w:fill="FFFFFF"/>
            <w:vAlign w:val="center"/>
            <w:tcMar>
              <w:top w:w="65" w:type="dxa"/>
              <w:start w:w="75" w:type="dxa"/>
              <w:bottom w:w="65" w:type="dxa"/>
              <w:end w:w="75" w:type="dxa"/>
            </w:tcMar>
          </w:tcPr>
          <w:p>
            <w:r>
              <w:rPr>
                <w:rFonts w:ascii="Arial" w:hAnsi="Arial"/>
                <w:sz w:val="16"/>
              </w:rPr>
              <w:t>Chyme</w:t>
            </w:r>
          </w:p>
        </w:tc>
        <w:tc>
          <w:tcPr>
            <w:tcW w:type="dxa" w:w="6236"/>
            <w:shd w:fill="FFFFFF"/>
            <w:vAlign w:val="center"/>
            <w:tcMar>
              <w:top w:w="65" w:type="dxa"/>
              <w:start w:w="75" w:type="dxa"/>
              <w:bottom w:w="65" w:type="dxa"/>
              <w:end w:w="75" w:type="dxa"/>
            </w:tcMar>
          </w:tcPr>
          <w:p>
            <w:r>
              <w:rPr>
                <w:rFonts w:ascii="Arial" w:hAnsi="Arial"/>
                <w:sz w:val="16"/>
              </w:rPr>
              <w:t>Bouillie de plus en plus liquide formée dans l’estomac.</w:t>
            </w:r>
          </w:p>
        </w:tc>
      </w:tr>
      <w:tr>
        <w:tc>
          <w:tcPr>
            <w:tcW w:type="dxa" w:w="2835"/>
            <w:shd w:fill="F7F9FB"/>
            <w:vAlign w:val="center"/>
            <w:tcMar>
              <w:top w:w="65" w:type="dxa"/>
              <w:start w:w="75" w:type="dxa"/>
              <w:bottom w:w="65" w:type="dxa"/>
              <w:end w:w="75" w:type="dxa"/>
            </w:tcMar>
          </w:tcPr>
          <w:p>
            <w:r>
              <w:rPr>
                <w:rFonts w:ascii="Arial" w:hAnsi="Arial"/>
                <w:sz w:val="16"/>
              </w:rPr>
              <w:t>Chyle</w:t>
            </w:r>
          </w:p>
        </w:tc>
        <w:tc>
          <w:tcPr>
            <w:tcW w:type="dxa" w:w="6236"/>
            <w:shd w:fill="F7F9FB"/>
            <w:vAlign w:val="center"/>
            <w:tcMar>
              <w:top w:w="65" w:type="dxa"/>
              <w:start w:w="75" w:type="dxa"/>
              <w:bottom w:w="65" w:type="dxa"/>
              <w:end w:w="75" w:type="dxa"/>
            </w:tcMar>
          </w:tcPr>
          <w:p>
            <w:r>
              <w:rPr>
                <w:rFonts w:ascii="Arial" w:hAnsi="Arial"/>
                <w:sz w:val="16"/>
              </w:rPr>
              <w:t>Contenu intestinal après réduction des grosses molécules en nutriments dans le duodénum.</w:t>
            </w:r>
          </w:p>
        </w:tc>
      </w:tr>
      <w:tr>
        <w:tc>
          <w:tcPr>
            <w:tcW w:type="dxa" w:w="2835"/>
            <w:shd w:fill="FFFFFF"/>
            <w:vAlign w:val="center"/>
            <w:tcMar>
              <w:top w:w="65" w:type="dxa"/>
              <w:start w:w="75" w:type="dxa"/>
              <w:bottom w:w="65" w:type="dxa"/>
              <w:end w:w="75" w:type="dxa"/>
            </w:tcMar>
          </w:tcPr>
          <w:p>
            <w:r>
              <w:rPr>
                <w:rFonts w:ascii="Arial" w:hAnsi="Arial"/>
                <w:sz w:val="16"/>
              </w:rPr>
              <w:t>Villosité</w:t>
            </w:r>
          </w:p>
        </w:tc>
        <w:tc>
          <w:tcPr>
            <w:tcW w:type="dxa" w:w="6236"/>
            <w:shd w:fill="FFFFFF"/>
            <w:vAlign w:val="center"/>
            <w:tcMar>
              <w:top w:w="65" w:type="dxa"/>
              <w:start w:w="75" w:type="dxa"/>
              <w:bottom w:w="65" w:type="dxa"/>
              <w:end w:w="75" w:type="dxa"/>
            </w:tcMar>
          </w:tcPr>
          <w:p>
            <w:r>
              <w:rPr>
                <w:rFonts w:ascii="Arial" w:hAnsi="Arial"/>
                <w:sz w:val="16"/>
              </w:rPr>
              <w:t>Relief de la muqueuse intestinale contenant des capillaires sanguins et un vaisseau chylifère.</w:t>
            </w:r>
          </w:p>
        </w:tc>
      </w:tr>
      <w:tr>
        <w:tc>
          <w:tcPr>
            <w:tcW w:type="dxa" w:w="2835"/>
            <w:shd w:fill="F7F9FB"/>
            <w:vAlign w:val="center"/>
            <w:tcMar>
              <w:top w:w="65" w:type="dxa"/>
              <w:start w:w="75" w:type="dxa"/>
              <w:bottom w:w="65" w:type="dxa"/>
              <w:end w:w="75" w:type="dxa"/>
            </w:tcMar>
          </w:tcPr>
          <w:p>
            <w:r>
              <w:rPr>
                <w:rFonts w:ascii="Arial" w:hAnsi="Arial"/>
                <w:sz w:val="16"/>
              </w:rPr>
              <w:t>Micelle</w:t>
            </w:r>
          </w:p>
        </w:tc>
        <w:tc>
          <w:tcPr>
            <w:tcW w:type="dxa" w:w="6236"/>
            <w:shd w:fill="F7F9FB"/>
            <w:vAlign w:val="center"/>
            <w:tcMar>
              <w:top w:w="65" w:type="dxa"/>
              <w:start w:w="75" w:type="dxa"/>
              <w:bottom w:w="65" w:type="dxa"/>
              <w:end w:w="75" w:type="dxa"/>
            </w:tcMar>
          </w:tcPr>
          <w:p>
            <w:r>
              <w:rPr>
                <w:rFonts w:ascii="Arial" w:hAnsi="Arial"/>
                <w:sz w:val="16"/>
              </w:rPr>
              <w:t>Structure lipidique absorbable représentée après l’action des sels biliaires et des lipases.</w:t>
            </w:r>
          </w:p>
        </w:tc>
      </w:tr>
    </w:tbl>
    <w:p>
      <w:pPr>
        <w:spacing w:after="20"/>
      </w:pPr>
    </w:p>
    <w:p>
      <w:r>
        <w:br w:type="page"/>
      </w:r>
    </w:p>
    <w:p>
      <w:pPr>
        <w:pStyle w:val="Heading1"/>
        <w:pBdr>
          <w:bottom w:val="single" w:sz="18" w:space="2" w:color="0B8FA3"/>
        </w:pBdr>
      </w:pPr>
      <w:r>
        <w:t>Fiche express — à relire juste avant une évaluation</w:t>
      </w:r>
    </w:p>
    <w:p>
      <w:pPr>
        <w:pStyle w:val="Heading2"/>
      </w:pPr>
      <w:r>
        <w:t>Les chiffres clés du diaporama</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4819"/>
            <w:shd w:fill="23405A"/>
            <w:vAlign w:val="center"/>
            <w:tcMar>
              <w:top w:w="80" w:type="dxa"/>
              <w:start w:w="80" w:type="dxa"/>
              <w:bottom w:w="80" w:type="dxa"/>
              <w:end w:w="80" w:type="dxa"/>
            </w:tcMar>
          </w:tcPr>
          <w:p>
            <w:pPr>
              <w:jc w:val="center"/>
            </w:pPr>
            <w:r>
              <w:rPr>
                <w:rFonts w:ascii="Arial" w:hAnsi="Arial"/>
                <w:b/>
                <w:color w:val="FFFFFF"/>
                <w:sz w:val="16"/>
              </w:rPr>
              <w:t>Élément</w:t>
            </w:r>
          </w:p>
        </w:tc>
        <w:tc>
          <w:tcPr>
            <w:tcW w:type="dxa" w:w="4535"/>
            <w:shd w:fill="23405A"/>
            <w:vAlign w:val="center"/>
            <w:tcMar>
              <w:top w:w="80" w:type="dxa"/>
              <w:start w:w="80" w:type="dxa"/>
              <w:bottom w:w="80" w:type="dxa"/>
              <w:end w:w="80" w:type="dxa"/>
            </w:tcMar>
          </w:tcPr>
          <w:p>
            <w:pPr>
              <w:jc w:val="center"/>
            </w:pPr>
            <w:r>
              <w:rPr>
                <w:rFonts w:ascii="Arial" w:hAnsi="Arial"/>
                <w:b/>
                <w:color w:val="FFFFFF"/>
                <w:sz w:val="16"/>
              </w:rPr>
              <w:t>Valeur</w:t>
            </w:r>
          </w:p>
        </w:tc>
      </w:tr>
      <w:tr>
        <w:tc>
          <w:tcPr>
            <w:tcW w:type="dxa" w:w="4819"/>
            <w:shd w:fill="FFFFFF"/>
            <w:vAlign w:val="center"/>
            <w:tcMar>
              <w:top w:w="65" w:type="dxa"/>
              <w:start w:w="75" w:type="dxa"/>
              <w:bottom w:w="65" w:type="dxa"/>
              <w:end w:w="75" w:type="dxa"/>
            </w:tcMar>
          </w:tcPr>
          <w:p>
            <w:r>
              <w:rPr>
                <w:rFonts w:ascii="Arial" w:hAnsi="Arial"/>
                <w:sz w:val="16"/>
              </w:rPr>
              <w:t>Dentition adulte</w:t>
            </w:r>
          </w:p>
        </w:tc>
        <w:tc>
          <w:tcPr>
            <w:tcW w:type="dxa" w:w="4535"/>
            <w:shd w:fill="FFFFFF"/>
            <w:vAlign w:val="center"/>
            <w:tcMar>
              <w:top w:w="65" w:type="dxa"/>
              <w:start w:w="75" w:type="dxa"/>
              <w:bottom w:w="65" w:type="dxa"/>
              <w:end w:w="75" w:type="dxa"/>
            </w:tcMar>
          </w:tcPr>
          <w:p>
            <w:r>
              <w:rPr>
                <w:rFonts w:ascii="Arial" w:hAnsi="Arial"/>
                <w:sz w:val="16"/>
              </w:rPr>
              <w:t>32 dents : 8 incisives, 4 canines, 8 prémolaires, 12 molaires</w:t>
            </w:r>
          </w:p>
        </w:tc>
      </w:tr>
      <w:tr>
        <w:tc>
          <w:tcPr>
            <w:tcW w:type="dxa" w:w="4819"/>
            <w:shd w:fill="F7F9FB"/>
            <w:vAlign w:val="center"/>
            <w:tcMar>
              <w:top w:w="65" w:type="dxa"/>
              <w:start w:w="75" w:type="dxa"/>
              <w:bottom w:w="65" w:type="dxa"/>
              <w:end w:w="75" w:type="dxa"/>
            </w:tcMar>
          </w:tcPr>
          <w:p>
            <w:r>
              <w:rPr>
                <w:rFonts w:ascii="Arial" w:hAnsi="Arial"/>
                <w:sz w:val="16"/>
              </w:rPr>
              <w:t>Salive</w:t>
            </w:r>
          </w:p>
        </w:tc>
        <w:tc>
          <w:tcPr>
            <w:tcW w:type="dxa" w:w="4535"/>
            <w:shd w:fill="F7F9FB"/>
            <w:vAlign w:val="center"/>
            <w:tcMar>
              <w:top w:w="65" w:type="dxa"/>
              <w:start w:w="75" w:type="dxa"/>
              <w:bottom w:w="65" w:type="dxa"/>
              <w:end w:w="75" w:type="dxa"/>
            </w:tcMar>
          </w:tcPr>
          <w:p>
            <w:r>
              <w:rPr>
                <w:rFonts w:ascii="Arial" w:hAnsi="Arial"/>
                <w:sz w:val="16"/>
              </w:rPr>
              <w:t>1 à 2 L/jour</w:t>
            </w:r>
          </w:p>
        </w:tc>
      </w:tr>
      <w:tr>
        <w:tc>
          <w:tcPr>
            <w:tcW w:type="dxa" w:w="4819"/>
            <w:shd w:fill="FFFFFF"/>
            <w:vAlign w:val="center"/>
            <w:tcMar>
              <w:top w:w="65" w:type="dxa"/>
              <w:start w:w="75" w:type="dxa"/>
              <w:bottom w:w="65" w:type="dxa"/>
              <w:end w:w="75" w:type="dxa"/>
            </w:tcMar>
          </w:tcPr>
          <w:p>
            <w:r>
              <w:rPr>
                <w:rFonts w:ascii="Arial" w:hAnsi="Arial"/>
                <w:sz w:val="16"/>
              </w:rPr>
              <w:t>Contribution des glandes salivaires</w:t>
            </w:r>
          </w:p>
        </w:tc>
        <w:tc>
          <w:tcPr>
            <w:tcW w:type="dxa" w:w="4535"/>
            <w:shd w:fill="FFFFFF"/>
            <w:vAlign w:val="center"/>
            <w:tcMar>
              <w:top w:w="65" w:type="dxa"/>
              <w:start w:w="75" w:type="dxa"/>
              <w:bottom w:w="65" w:type="dxa"/>
              <w:end w:w="75" w:type="dxa"/>
            </w:tcMar>
          </w:tcPr>
          <w:p>
            <w:r>
              <w:rPr>
                <w:rFonts w:ascii="Arial" w:hAnsi="Arial"/>
                <w:sz w:val="16"/>
              </w:rPr>
              <w:t>Parotide 25 % • Sous-maxillaire 70 % • Sublinguale 5 %</w:t>
            </w:r>
          </w:p>
        </w:tc>
      </w:tr>
      <w:tr>
        <w:tc>
          <w:tcPr>
            <w:tcW w:type="dxa" w:w="4819"/>
            <w:shd w:fill="F7F9FB"/>
            <w:vAlign w:val="center"/>
            <w:tcMar>
              <w:top w:w="65" w:type="dxa"/>
              <w:start w:w="75" w:type="dxa"/>
              <w:bottom w:w="65" w:type="dxa"/>
              <w:end w:w="75" w:type="dxa"/>
            </w:tcMar>
          </w:tcPr>
          <w:p>
            <w:r>
              <w:rPr>
                <w:rFonts w:ascii="Arial" w:hAnsi="Arial"/>
                <w:sz w:val="16"/>
              </w:rPr>
              <w:t>pH gastrique</w:t>
            </w:r>
          </w:p>
        </w:tc>
        <w:tc>
          <w:tcPr>
            <w:tcW w:type="dxa" w:w="4535"/>
            <w:shd w:fill="F7F9FB"/>
            <w:vAlign w:val="center"/>
            <w:tcMar>
              <w:top w:w="65" w:type="dxa"/>
              <w:start w:w="75" w:type="dxa"/>
              <w:bottom w:w="65" w:type="dxa"/>
              <w:end w:w="75" w:type="dxa"/>
            </w:tcMar>
          </w:tcPr>
          <w:p>
            <w:r>
              <w:rPr>
                <w:rFonts w:ascii="Arial" w:hAnsi="Arial"/>
                <w:sz w:val="16"/>
              </w:rPr>
              <w:t>1,5 à 3,5</w:t>
            </w:r>
          </w:p>
        </w:tc>
      </w:tr>
      <w:tr>
        <w:tc>
          <w:tcPr>
            <w:tcW w:type="dxa" w:w="4819"/>
            <w:shd w:fill="FFFFFF"/>
            <w:vAlign w:val="center"/>
            <w:tcMar>
              <w:top w:w="65" w:type="dxa"/>
              <w:start w:w="75" w:type="dxa"/>
              <w:bottom w:w="65" w:type="dxa"/>
              <w:end w:w="75" w:type="dxa"/>
            </w:tcMar>
          </w:tcPr>
          <w:p>
            <w:r>
              <w:rPr>
                <w:rFonts w:ascii="Arial" w:hAnsi="Arial"/>
                <w:sz w:val="16"/>
              </w:rPr>
              <w:t>Motilité gastrique</w:t>
            </w:r>
          </w:p>
        </w:tc>
        <w:tc>
          <w:tcPr>
            <w:tcW w:type="dxa" w:w="4535"/>
            <w:shd w:fill="FFFFFF"/>
            <w:vAlign w:val="center"/>
            <w:tcMar>
              <w:top w:w="65" w:type="dxa"/>
              <w:start w:w="75" w:type="dxa"/>
              <w:bottom w:w="65" w:type="dxa"/>
              <w:end w:w="75" w:type="dxa"/>
            </w:tcMar>
          </w:tcPr>
          <w:p>
            <w:r>
              <w:rPr>
                <w:rFonts w:ascii="Arial" w:hAnsi="Arial"/>
                <w:sz w:val="16"/>
              </w:rPr>
              <w:t>Vagues indiquées environ toutes les 20 s</w:t>
            </w:r>
          </w:p>
        </w:tc>
      </w:tr>
      <w:tr>
        <w:tc>
          <w:tcPr>
            <w:tcW w:type="dxa" w:w="4819"/>
            <w:shd w:fill="F7F9FB"/>
            <w:vAlign w:val="center"/>
            <w:tcMar>
              <w:top w:w="65" w:type="dxa"/>
              <w:start w:w="75" w:type="dxa"/>
              <w:bottom w:w="65" w:type="dxa"/>
              <w:end w:w="75" w:type="dxa"/>
            </w:tcMar>
          </w:tcPr>
          <w:p>
            <w:r>
              <w:rPr>
                <w:rFonts w:ascii="Arial" w:hAnsi="Arial"/>
                <w:sz w:val="16"/>
              </w:rPr>
              <w:t>Duodénum</w:t>
            </w:r>
          </w:p>
        </w:tc>
        <w:tc>
          <w:tcPr>
            <w:tcW w:type="dxa" w:w="4535"/>
            <w:shd w:fill="F7F9FB"/>
            <w:vAlign w:val="center"/>
            <w:tcMar>
              <w:top w:w="65" w:type="dxa"/>
              <w:start w:w="75" w:type="dxa"/>
              <w:bottom w:w="65" w:type="dxa"/>
              <w:end w:w="75" w:type="dxa"/>
            </w:tcMar>
          </w:tcPr>
          <w:p>
            <w:r>
              <w:rPr>
                <w:rFonts w:ascii="Arial" w:hAnsi="Arial"/>
                <w:sz w:val="16"/>
              </w:rPr>
              <w:t>25–30 cm</w:t>
            </w:r>
          </w:p>
        </w:tc>
      </w:tr>
      <w:tr>
        <w:tc>
          <w:tcPr>
            <w:tcW w:type="dxa" w:w="4819"/>
            <w:shd w:fill="FFFFFF"/>
            <w:vAlign w:val="center"/>
            <w:tcMar>
              <w:top w:w="65" w:type="dxa"/>
              <w:start w:w="75" w:type="dxa"/>
              <w:bottom w:w="65" w:type="dxa"/>
              <w:end w:w="75" w:type="dxa"/>
            </w:tcMar>
          </w:tcPr>
          <w:p>
            <w:r>
              <w:rPr>
                <w:rFonts w:ascii="Arial" w:hAnsi="Arial"/>
                <w:sz w:val="16"/>
              </w:rPr>
              <w:t>Jéjunum</w:t>
            </w:r>
          </w:p>
        </w:tc>
        <w:tc>
          <w:tcPr>
            <w:tcW w:type="dxa" w:w="4535"/>
            <w:shd w:fill="FFFFFF"/>
            <w:vAlign w:val="center"/>
            <w:tcMar>
              <w:top w:w="65" w:type="dxa"/>
              <w:start w:w="75" w:type="dxa"/>
              <w:bottom w:w="65" w:type="dxa"/>
              <w:end w:w="75" w:type="dxa"/>
            </w:tcMar>
          </w:tcPr>
          <w:p>
            <w:r>
              <w:rPr>
                <w:rFonts w:ascii="Arial" w:hAnsi="Arial"/>
                <w:sz w:val="16"/>
              </w:rPr>
              <w:t>2,5 m</w:t>
            </w:r>
          </w:p>
        </w:tc>
      </w:tr>
      <w:tr>
        <w:tc>
          <w:tcPr>
            <w:tcW w:type="dxa" w:w="4819"/>
            <w:shd w:fill="F7F9FB"/>
            <w:vAlign w:val="center"/>
            <w:tcMar>
              <w:top w:w="65" w:type="dxa"/>
              <w:start w:w="75" w:type="dxa"/>
              <w:bottom w:w="65" w:type="dxa"/>
              <w:end w:w="75" w:type="dxa"/>
            </w:tcMar>
          </w:tcPr>
          <w:p>
            <w:r>
              <w:rPr>
                <w:rFonts w:ascii="Arial" w:hAnsi="Arial"/>
                <w:sz w:val="16"/>
              </w:rPr>
              <w:t>Iléon</w:t>
            </w:r>
          </w:p>
        </w:tc>
        <w:tc>
          <w:tcPr>
            <w:tcW w:type="dxa" w:w="4535"/>
            <w:shd w:fill="F7F9FB"/>
            <w:vAlign w:val="center"/>
            <w:tcMar>
              <w:top w:w="65" w:type="dxa"/>
              <w:start w:w="75" w:type="dxa"/>
              <w:bottom w:w="65" w:type="dxa"/>
              <w:end w:w="75" w:type="dxa"/>
            </w:tcMar>
          </w:tcPr>
          <w:p>
            <w:r>
              <w:rPr>
                <w:rFonts w:ascii="Arial" w:hAnsi="Arial"/>
                <w:sz w:val="16"/>
              </w:rPr>
              <w:t>3,5 m</w:t>
            </w:r>
          </w:p>
        </w:tc>
      </w:tr>
      <w:tr>
        <w:tc>
          <w:tcPr>
            <w:tcW w:type="dxa" w:w="4819"/>
            <w:shd w:fill="FFFFFF"/>
            <w:vAlign w:val="center"/>
            <w:tcMar>
              <w:top w:w="65" w:type="dxa"/>
              <w:start w:w="75" w:type="dxa"/>
              <w:bottom w:w="65" w:type="dxa"/>
              <w:end w:w="75" w:type="dxa"/>
            </w:tcMar>
          </w:tcPr>
          <w:p>
            <w:r>
              <w:rPr>
                <w:rFonts w:ascii="Arial" w:hAnsi="Arial"/>
                <w:sz w:val="16"/>
              </w:rPr>
              <w:t>Suc pancréatique</w:t>
            </w:r>
          </w:p>
        </w:tc>
        <w:tc>
          <w:tcPr>
            <w:tcW w:type="dxa" w:w="4535"/>
            <w:shd w:fill="FFFFFF"/>
            <w:vAlign w:val="center"/>
            <w:tcMar>
              <w:top w:w="65" w:type="dxa"/>
              <w:start w:w="75" w:type="dxa"/>
              <w:bottom w:w="65" w:type="dxa"/>
              <w:end w:w="75" w:type="dxa"/>
            </w:tcMar>
          </w:tcPr>
          <w:p>
            <w:r>
              <w:rPr>
                <w:rFonts w:ascii="Arial" w:hAnsi="Arial"/>
                <w:sz w:val="16"/>
              </w:rPr>
              <w:t>pH ≈ 8</w:t>
            </w:r>
          </w:p>
        </w:tc>
      </w:tr>
      <w:tr>
        <w:tc>
          <w:tcPr>
            <w:tcW w:type="dxa" w:w="4819"/>
            <w:shd w:fill="F7F9FB"/>
            <w:vAlign w:val="center"/>
            <w:tcMar>
              <w:top w:w="65" w:type="dxa"/>
              <w:start w:w="75" w:type="dxa"/>
              <w:bottom w:w="65" w:type="dxa"/>
              <w:end w:w="75" w:type="dxa"/>
            </w:tcMar>
          </w:tcPr>
          <w:p>
            <w:r>
              <w:rPr>
                <w:rFonts w:ascii="Arial" w:hAnsi="Arial"/>
                <w:sz w:val="16"/>
              </w:rPr>
              <w:t>Vésicule biliaire</w:t>
            </w:r>
          </w:p>
        </w:tc>
        <w:tc>
          <w:tcPr>
            <w:tcW w:type="dxa" w:w="4535"/>
            <w:shd w:fill="F7F9FB"/>
            <w:vAlign w:val="center"/>
            <w:tcMar>
              <w:top w:w="65" w:type="dxa"/>
              <w:start w:w="75" w:type="dxa"/>
              <w:bottom w:w="65" w:type="dxa"/>
              <w:end w:w="75" w:type="dxa"/>
            </w:tcMar>
          </w:tcPr>
          <w:p>
            <w:r>
              <w:rPr>
                <w:rFonts w:ascii="Arial" w:hAnsi="Arial"/>
                <w:sz w:val="16"/>
              </w:rPr>
              <w:t>7 à 10 cm</w:t>
            </w:r>
          </w:p>
        </w:tc>
      </w:tr>
      <w:tr>
        <w:tc>
          <w:tcPr>
            <w:tcW w:type="dxa" w:w="4819"/>
            <w:shd w:fill="FFFFFF"/>
            <w:vAlign w:val="center"/>
            <w:tcMar>
              <w:top w:w="65" w:type="dxa"/>
              <w:start w:w="75" w:type="dxa"/>
              <w:bottom w:w="65" w:type="dxa"/>
              <w:end w:w="75" w:type="dxa"/>
            </w:tcMar>
          </w:tcPr>
          <w:p>
            <w:r>
              <w:rPr>
                <w:rFonts w:ascii="Arial" w:hAnsi="Arial"/>
                <w:sz w:val="16"/>
              </w:rPr>
              <w:t>Bile</w:t>
            </w:r>
          </w:p>
        </w:tc>
        <w:tc>
          <w:tcPr>
            <w:tcW w:type="dxa" w:w="4535"/>
            <w:shd w:fill="FFFFFF"/>
            <w:vAlign w:val="center"/>
            <w:tcMar>
              <w:top w:w="65" w:type="dxa"/>
              <w:start w:w="75" w:type="dxa"/>
              <w:bottom w:w="65" w:type="dxa"/>
              <w:end w:w="75" w:type="dxa"/>
            </w:tcMar>
          </w:tcPr>
          <w:p>
            <w:r>
              <w:rPr>
                <w:rFonts w:ascii="Arial" w:hAnsi="Arial"/>
                <w:sz w:val="16"/>
              </w:rPr>
              <w:t>97 % d’eau</w:t>
            </w:r>
          </w:p>
        </w:tc>
      </w:tr>
      <w:tr>
        <w:tc>
          <w:tcPr>
            <w:tcW w:type="dxa" w:w="4819"/>
            <w:shd w:fill="F7F9FB"/>
            <w:vAlign w:val="center"/>
            <w:tcMar>
              <w:top w:w="65" w:type="dxa"/>
              <w:start w:w="75" w:type="dxa"/>
              <w:bottom w:w="65" w:type="dxa"/>
              <w:end w:w="75" w:type="dxa"/>
            </w:tcMar>
          </w:tcPr>
          <w:p>
            <w:r>
              <w:rPr>
                <w:rFonts w:ascii="Arial" w:hAnsi="Arial"/>
                <w:sz w:val="16"/>
              </w:rPr>
              <w:t>Temps du chyle dans l’intestin grêle</w:t>
            </w:r>
          </w:p>
        </w:tc>
        <w:tc>
          <w:tcPr>
            <w:tcW w:type="dxa" w:w="4535"/>
            <w:shd w:fill="F7F9FB"/>
            <w:vAlign w:val="center"/>
            <w:tcMar>
              <w:top w:w="65" w:type="dxa"/>
              <w:start w:w="75" w:type="dxa"/>
              <w:bottom w:w="65" w:type="dxa"/>
              <w:end w:w="75" w:type="dxa"/>
            </w:tcMar>
          </w:tcPr>
          <w:p>
            <w:r>
              <w:rPr>
                <w:rFonts w:ascii="Arial" w:hAnsi="Arial"/>
                <w:sz w:val="16"/>
              </w:rPr>
              <w:t>3 à 5 h</w:t>
            </w:r>
          </w:p>
        </w:tc>
      </w:tr>
    </w:tbl>
    <w:p>
      <w:pPr>
        <w:spacing w:after="20"/>
      </w:pPr>
    </w:p>
    <w:p>
      <w:pPr>
        <w:pStyle w:val="Heading2"/>
      </w:pPr>
      <w:r>
        <w:t>Enzymes / hormones incontournables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3572"/>
            <w:shd w:fill="23405A"/>
            <w:vAlign w:val="center"/>
            <w:tcMar>
              <w:top w:w="80" w:type="dxa"/>
              <w:start w:w="80" w:type="dxa"/>
              <w:bottom w:w="80" w:type="dxa"/>
              <w:end w:w="80" w:type="dxa"/>
            </w:tcMar>
          </w:tcPr>
          <w:p>
            <w:pPr>
              <w:jc w:val="center"/>
            </w:pPr>
            <w:r>
              <w:rPr>
                <w:rFonts w:ascii="Arial" w:hAnsi="Arial"/>
                <w:b/>
                <w:color w:val="FFFFFF"/>
                <w:sz w:val="15"/>
              </w:rPr>
              <w:t>Nom</w:t>
            </w:r>
          </w:p>
        </w:tc>
        <w:tc>
          <w:tcPr>
            <w:tcW w:type="dxa" w:w="5783"/>
            <w:shd w:fill="23405A"/>
            <w:vAlign w:val="center"/>
            <w:tcMar>
              <w:top w:w="80" w:type="dxa"/>
              <w:start w:w="80" w:type="dxa"/>
              <w:bottom w:w="80" w:type="dxa"/>
              <w:end w:w="80" w:type="dxa"/>
            </w:tcMar>
          </w:tcPr>
          <w:p>
            <w:pPr>
              <w:jc w:val="center"/>
            </w:pPr>
            <w:r>
              <w:rPr>
                <w:rFonts w:ascii="Arial" w:hAnsi="Arial"/>
                <w:b/>
                <w:color w:val="FFFFFF"/>
                <w:sz w:val="15"/>
              </w:rPr>
              <w:t>À associer immédiatement</w:t>
            </w:r>
          </w:p>
        </w:tc>
      </w:tr>
      <w:tr>
        <w:tc>
          <w:tcPr>
            <w:tcW w:type="dxa" w:w="3572"/>
            <w:shd w:fill="FFFFFF"/>
            <w:vAlign w:val="center"/>
            <w:tcMar>
              <w:top w:w="65" w:type="dxa"/>
              <w:start w:w="75" w:type="dxa"/>
              <w:bottom w:w="65" w:type="dxa"/>
              <w:end w:w="75" w:type="dxa"/>
            </w:tcMar>
          </w:tcPr>
          <w:p>
            <w:r>
              <w:rPr>
                <w:rFonts w:ascii="Arial" w:hAnsi="Arial"/>
                <w:sz w:val="15"/>
              </w:rPr>
              <w:t>α-amylase salivaire</w:t>
            </w:r>
          </w:p>
        </w:tc>
        <w:tc>
          <w:tcPr>
            <w:tcW w:type="dxa" w:w="5783"/>
            <w:shd w:fill="FFFFFF"/>
            <w:vAlign w:val="center"/>
            <w:tcMar>
              <w:top w:w="65" w:type="dxa"/>
              <w:start w:w="75" w:type="dxa"/>
              <w:bottom w:w="65" w:type="dxa"/>
              <w:end w:w="75" w:type="dxa"/>
            </w:tcMar>
          </w:tcPr>
          <w:p>
            <w:r>
              <w:rPr>
                <w:rFonts w:ascii="Arial" w:hAnsi="Arial"/>
                <w:sz w:val="15"/>
              </w:rPr>
              <w:t>Amidon → sucres plus simples ; agit à pH neutre</w:t>
            </w:r>
          </w:p>
        </w:tc>
      </w:tr>
      <w:tr>
        <w:tc>
          <w:tcPr>
            <w:tcW w:type="dxa" w:w="3572"/>
            <w:shd w:fill="F7F9FB"/>
            <w:vAlign w:val="center"/>
            <w:tcMar>
              <w:top w:w="65" w:type="dxa"/>
              <w:start w:w="75" w:type="dxa"/>
              <w:bottom w:w="65" w:type="dxa"/>
              <w:end w:w="75" w:type="dxa"/>
            </w:tcMar>
          </w:tcPr>
          <w:p>
            <w:r>
              <w:rPr>
                <w:rFonts w:ascii="Arial" w:hAnsi="Arial"/>
                <w:sz w:val="15"/>
              </w:rPr>
              <w:t>Lysozyme</w:t>
            </w:r>
          </w:p>
        </w:tc>
        <w:tc>
          <w:tcPr>
            <w:tcW w:type="dxa" w:w="5783"/>
            <w:shd w:fill="F7F9FB"/>
            <w:vAlign w:val="center"/>
            <w:tcMar>
              <w:top w:w="65" w:type="dxa"/>
              <w:start w:w="75" w:type="dxa"/>
              <w:bottom w:w="65" w:type="dxa"/>
              <w:end w:w="75" w:type="dxa"/>
            </w:tcMar>
          </w:tcPr>
          <w:p>
            <w:r>
              <w:rPr>
                <w:rFonts w:ascii="Arial" w:hAnsi="Arial"/>
                <w:sz w:val="15"/>
              </w:rPr>
              <w:t>Action antibactérienne dans la cavité buccale</w:t>
            </w:r>
          </w:p>
        </w:tc>
      </w:tr>
      <w:tr>
        <w:tc>
          <w:tcPr>
            <w:tcW w:type="dxa" w:w="3572"/>
            <w:shd w:fill="FFFFFF"/>
            <w:vAlign w:val="center"/>
            <w:tcMar>
              <w:top w:w="65" w:type="dxa"/>
              <w:start w:w="75" w:type="dxa"/>
              <w:bottom w:w="65" w:type="dxa"/>
              <w:end w:w="75" w:type="dxa"/>
            </w:tcMar>
          </w:tcPr>
          <w:p>
            <w:r>
              <w:rPr>
                <w:rFonts w:ascii="Arial" w:hAnsi="Arial"/>
                <w:sz w:val="15"/>
              </w:rPr>
              <w:t>Pepsine</w:t>
            </w:r>
          </w:p>
        </w:tc>
        <w:tc>
          <w:tcPr>
            <w:tcW w:type="dxa" w:w="5783"/>
            <w:shd w:fill="FFFFFF"/>
            <w:vAlign w:val="center"/>
            <w:tcMar>
              <w:top w:w="65" w:type="dxa"/>
              <w:start w:w="75" w:type="dxa"/>
              <w:bottom w:w="65" w:type="dxa"/>
              <w:end w:w="75" w:type="dxa"/>
            </w:tcMar>
          </w:tcPr>
          <w:p>
            <w:r>
              <w:rPr>
                <w:rFonts w:ascii="Arial" w:hAnsi="Arial"/>
                <w:sz w:val="15"/>
              </w:rPr>
              <w:t>Protéines → petits peptides ; activée à partir du pepsinogène par HCl</w:t>
            </w:r>
          </w:p>
        </w:tc>
      </w:tr>
      <w:tr>
        <w:tc>
          <w:tcPr>
            <w:tcW w:type="dxa" w:w="3572"/>
            <w:shd w:fill="F7F9FB"/>
            <w:vAlign w:val="center"/>
            <w:tcMar>
              <w:top w:w="65" w:type="dxa"/>
              <w:start w:w="75" w:type="dxa"/>
              <w:bottom w:w="65" w:type="dxa"/>
              <w:end w:w="75" w:type="dxa"/>
            </w:tcMar>
          </w:tcPr>
          <w:p>
            <w:r>
              <w:rPr>
                <w:rFonts w:ascii="Arial" w:hAnsi="Arial"/>
                <w:sz w:val="15"/>
              </w:rPr>
              <w:t>Amylase pancréatique</w:t>
            </w:r>
          </w:p>
        </w:tc>
        <w:tc>
          <w:tcPr>
            <w:tcW w:type="dxa" w:w="5783"/>
            <w:shd w:fill="F7F9FB"/>
            <w:vAlign w:val="center"/>
            <w:tcMar>
              <w:top w:w="65" w:type="dxa"/>
              <w:start w:w="75" w:type="dxa"/>
              <w:bottom w:w="65" w:type="dxa"/>
              <w:end w:w="75" w:type="dxa"/>
            </w:tcMar>
          </w:tcPr>
          <w:p>
            <w:r>
              <w:rPr>
                <w:rFonts w:ascii="Arial" w:hAnsi="Arial"/>
                <w:sz w:val="15"/>
              </w:rPr>
              <w:t>Polysaccharides → maltose</w:t>
            </w:r>
          </w:p>
        </w:tc>
      </w:tr>
      <w:tr>
        <w:tc>
          <w:tcPr>
            <w:tcW w:type="dxa" w:w="3572"/>
            <w:shd w:fill="FFFFFF"/>
            <w:vAlign w:val="center"/>
            <w:tcMar>
              <w:top w:w="65" w:type="dxa"/>
              <w:start w:w="75" w:type="dxa"/>
              <w:bottom w:w="65" w:type="dxa"/>
              <w:end w:w="75" w:type="dxa"/>
            </w:tcMar>
          </w:tcPr>
          <w:p>
            <w:r>
              <w:rPr>
                <w:rFonts w:ascii="Arial" w:hAnsi="Arial"/>
                <w:sz w:val="15"/>
              </w:rPr>
              <w:t>Lipase pancréatique</w:t>
            </w:r>
          </w:p>
        </w:tc>
        <w:tc>
          <w:tcPr>
            <w:tcW w:type="dxa" w:w="5783"/>
            <w:shd w:fill="FFFFFF"/>
            <w:vAlign w:val="center"/>
            <w:tcMar>
              <w:top w:w="65" w:type="dxa"/>
              <w:start w:w="75" w:type="dxa"/>
              <w:bottom w:w="65" w:type="dxa"/>
              <w:end w:w="75" w:type="dxa"/>
            </w:tcMar>
          </w:tcPr>
          <w:p>
            <w:r>
              <w:rPr>
                <w:rFonts w:ascii="Arial" w:hAnsi="Arial"/>
                <w:sz w:val="15"/>
              </w:rPr>
              <w:t>Triglycérides → glycérol + acides gras</w:t>
            </w:r>
          </w:p>
        </w:tc>
      </w:tr>
      <w:tr>
        <w:tc>
          <w:tcPr>
            <w:tcW w:type="dxa" w:w="3572"/>
            <w:shd w:fill="F7F9FB"/>
            <w:vAlign w:val="center"/>
            <w:tcMar>
              <w:top w:w="65" w:type="dxa"/>
              <w:start w:w="75" w:type="dxa"/>
              <w:bottom w:w="65" w:type="dxa"/>
              <w:end w:w="75" w:type="dxa"/>
            </w:tcMar>
          </w:tcPr>
          <w:p>
            <w:r>
              <w:rPr>
                <w:rFonts w:ascii="Arial" w:hAnsi="Arial"/>
                <w:sz w:val="15"/>
              </w:rPr>
              <w:t>Trypsine</w:t>
            </w:r>
          </w:p>
        </w:tc>
        <w:tc>
          <w:tcPr>
            <w:tcW w:type="dxa" w:w="5783"/>
            <w:shd w:fill="F7F9FB"/>
            <w:vAlign w:val="center"/>
            <w:tcMar>
              <w:top w:w="65" w:type="dxa"/>
              <w:start w:w="75" w:type="dxa"/>
              <w:bottom w:w="65" w:type="dxa"/>
              <w:end w:w="75" w:type="dxa"/>
            </w:tcMar>
          </w:tcPr>
          <w:p>
            <w:r>
              <w:rPr>
                <w:rFonts w:ascii="Arial" w:hAnsi="Arial"/>
                <w:sz w:val="15"/>
              </w:rPr>
              <w:t>Protéase ; issue d’une proenzyme inactive</w:t>
            </w:r>
          </w:p>
        </w:tc>
      </w:tr>
      <w:tr>
        <w:tc>
          <w:tcPr>
            <w:tcW w:type="dxa" w:w="3572"/>
            <w:shd w:fill="FFFFFF"/>
            <w:vAlign w:val="center"/>
            <w:tcMar>
              <w:top w:w="65" w:type="dxa"/>
              <w:start w:w="75" w:type="dxa"/>
              <w:bottom w:w="65" w:type="dxa"/>
              <w:end w:w="75" w:type="dxa"/>
            </w:tcMar>
          </w:tcPr>
          <w:p>
            <w:r>
              <w:rPr>
                <w:rFonts w:ascii="Arial" w:hAnsi="Arial"/>
                <w:sz w:val="15"/>
              </w:rPr>
              <w:t>CCK + sécrétine</w:t>
            </w:r>
          </w:p>
        </w:tc>
        <w:tc>
          <w:tcPr>
            <w:tcW w:type="dxa" w:w="5783"/>
            <w:shd w:fill="FFFFFF"/>
            <w:vAlign w:val="center"/>
            <w:tcMar>
              <w:top w:w="65" w:type="dxa"/>
              <w:start w:w="75" w:type="dxa"/>
              <w:bottom w:w="65" w:type="dxa"/>
              <w:end w:w="75" w:type="dxa"/>
            </w:tcMar>
          </w:tcPr>
          <w:p>
            <w:r>
              <w:rPr>
                <w:rFonts w:ascii="Arial" w:hAnsi="Arial"/>
                <w:sz w:val="15"/>
              </w:rPr>
              <w:t>Hormones duodénales stimulant la sécrétion pancréatique</w:t>
            </w:r>
          </w:p>
        </w:tc>
      </w:tr>
      <w:tr>
        <w:tc>
          <w:tcPr>
            <w:tcW w:type="dxa" w:w="3572"/>
            <w:shd w:fill="F7F9FB"/>
            <w:vAlign w:val="center"/>
            <w:tcMar>
              <w:top w:w="65" w:type="dxa"/>
              <w:start w:w="75" w:type="dxa"/>
              <w:bottom w:w="65" w:type="dxa"/>
              <w:end w:w="75" w:type="dxa"/>
            </w:tcMar>
          </w:tcPr>
          <w:p>
            <w:r>
              <w:rPr>
                <w:rFonts w:ascii="Arial" w:hAnsi="Arial"/>
                <w:sz w:val="15"/>
              </w:rPr>
              <w:t>Gastrine</w:t>
            </w:r>
          </w:p>
        </w:tc>
        <w:tc>
          <w:tcPr>
            <w:tcW w:type="dxa" w:w="5783"/>
            <w:shd w:fill="F7F9FB"/>
            <w:vAlign w:val="center"/>
            <w:tcMar>
              <w:top w:w="65" w:type="dxa"/>
              <w:start w:w="75" w:type="dxa"/>
              <w:bottom w:w="65" w:type="dxa"/>
              <w:end w:w="75" w:type="dxa"/>
            </w:tcMar>
          </w:tcPr>
          <w:p>
            <w:r>
              <w:rPr>
                <w:rFonts w:ascii="Arial" w:hAnsi="Arial"/>
                <w:sz w:val="15"/>
              </w:rPr>
              <w:t>Sécrétée par les cellules G ; stimule les muscles de l’estomac</w:t>
            </w:r>
          </w:p>
        </w:tc>
      </w:tr>
      <w:tr>
        <w:tc>
          <w:tcPr>
            <w:tcW w:type="dxa" w:w="3572"/>
            <w:shd w:fill="FFFFFF"/>
            <w:vAlign w:val="center"/>
            <w:tcMar>
              <w:top w:w="65" w:type="dxa"/>
              <w:start w:w="75" w:type="dxa"/>
              <w:bottom w:w="65" w:type="dxa"/>
              <w:end w:w="75" w:type="dxa"/>
            </w:tcMar>
          </w:tcPr>
          <w:p>
            <w:r>
              <w:rPr>
                <w:rFonts w:ascii="Arial" w:hAnsi="Arial"/>
                <w:sz w:val="15"/>
              </w:rPr>
              <w:t>Maltase / saccharase / lactase</w:t>
            </w:r>
          </w:p>
        </w:tc>
        <w:tc>
          <w:tcPr>
            <w:tcW w:type="dxa" w:w="5783"/>
            <w:shd w:fill="FFFFFF"/>
            <w:vAlign w:val="center"/>
            <w:tcMar>
              <w:top w:w="65" w:type="dxa"/>
              <w:start w:w="75" w:type="dxa"/>
              <w:bottom w:w="65" w:type="dxa"/>
              <w:end w:w="75" w:type="dxa"/>
            </w:tcMar>
          </w:tcPr>
          <w:p>
            <w:r>
              <w:rPr>
                <w:rFonts w:ascii="Arial" w:hAnsi="Arial"/>
                <w:sz w:val="15"/>
              </w:rPr>
              <w:t>Enzymes de la bordure en brosse pour les disaccharides</w:t>
            </w:r>
          </w:p>
        </w:tc>
      </w:tr>
      <w:tr>
        <w:tc>
          <w:tcPr>
            <w:tcW w:type="dxa" w:w="3572"/>
            <w:shd w:fill="F7F9FB"/>
            <w:vAlign w:val="center"/>
            <w:tcMar>
              <w:top w:w="65" w:type="dxa"/>
              <w:start w:w="75" w:type="dxa"/>
              <w:bottom w:w="65" w:type="dxa"/>
              <w:end w:w="75" w:type="dxa"/>
            </w:tcMar>
          </w:tcPr>
          <w:p>
            <w:r>
              <w:rPr>
                <w:rFonts w:ascii="Arial" w:hAnsi="Arial"/>
                <w:sz w:val="15"/>
              </w:rPr>
              <w:t>Dipeptidases</w:t>
            </w:r>
          </w:p>
        </w:tc>
        <w:tc>
          <w:tcPr>
            <w:tcW w:type="dxa" w:w="5783"/>
            <w:shd w:fill="F7F9FB"/>
            <w:vAlign w:val="center"/>
            <w:tcMar>
              <w:top w:w="65" w:type="dxa"/>
              <w:start w:w="75" w:type="dxa"/>
              <w:bottom w:w="65" w:type="dxa"/>
              <w:end w:w="75" w:type="dxa"/>
            </w:tcMar>
          </w:tcPr>
          <w:p>
            <w:r>
              <w:rPr>
                <w:rFonts w:ascii="Arial" w:hAnsi="Arial"/>
                <w:sz w:val="15"/>
              </w:rPr>
              <w:t>Séparent les dipeptides</w:t>
            </w:r>
          </w:p>
        </w:tc>
      </w:tr>
    </w:tbl>
    <w:p>
      <w:pPr>
        <w:spacing w:after="20"/>
      </w:pPr>
    </w:p>
    <w:p>
      <w:pPr>
        <w:pStyle w:val="Heading2"/>
      </w:pPr>
      <w:r>
        <w:t>À ne pas confondre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4535"/>
            <w:shd w:fill="23405A"/>
            <w:vAlign w:val="center"/>
            <w:tcMar>
              <w:top w:w="80" w:type="dxa"/>
              <w:start w:w="80" w:type="dxa"/>
              <w:bottom w:w="80" w:type="dxa"/>
              <w:end w:w="80" w:type="dxa"/>
            </w:tcMar>
          </w:tcPr>
          <w:p>
            <w:pPr>
              <w:jc w:val="center"/>
            </w:pPr>
            <w:r>
              <w:rPr>
                <w:rFonts w:ascii="Arial" w:hAnsi="Arial"/>
                <w:b/>
                <w:color w:val="FFFFFF"/>
                <w:sz w:val="16"/>
              </w:rPr>
              <w:t>Notion 1</w:t>
            </w:r>
          </w:p>
        </w:tc>
        <w:tc>
          <w:tcPr>
            <w:tcW w:type="dxa" w:w="4819"/>
            <w:shd w:fill="23405A"/>
            <w:vAlign w:val="center"/>
            <w:tcMar>
              <w:top w:w="80" w:type="dxa"/>
              <w:start w:w="80" w:type="dxa"/>
              <w:bottom w:w="80" w:type="dxa"/>
              <w:end w:w="80" w:type="dxa"/>
            </w:tcMar>
          </w:tcPr>
          <w:p>
            <w:pPr>
              <w:jc w:val="center"/>
            </w:pPr>
            <w:r>
              <w:rPr>
                <w:rFonts w:ascii="Arial" w:hAnsi="Arial"/>
                <w:b/>
                <w:color w:val="FFFFFF"/>
                <w:sz w:val="16"/>
              </w:rPr>
              <w:t>Notion 2</w:t>
            </w:r>
          </w:p>
        </w:tc>
      </w:tr>
      <w:tr>
        <w:tc>
          <w:tcPr>
            <w:tcW w:type="dxa" w:w="4535"/>
            <w:shd w:fill="FFFFFF"/>
            <w:vAlign w:val="center"/>
            <w:tcMar>
              <w:top w:w="65" w:type="dxa"/>
              <w:start w:w="75" w:type="dxa"/>
              <w:bottom w:w="65" w:type="dxa"/>
              <w:end w:w="75" w:type="dxa"/>
            </w:tcMar>
          </w:tcPr>
          <w:p>
            <w:r>
              <w:rPr>
                <w:rFonts w:ascii="Arial" w:hAnsi="Arial"/>
                <w:sz w:val="16"/>
              </w:rPr>
              <w:t>Segmentation : malaxage local sans progression</w:t>
            </w:r>
          </w:p>
        </w:tc>
        <w:tc>
          <w:tcPr>
            <w:tcW w:type="dxa" w:w="4819"/>
            <w:shd w:fill="FFFFFF"/>
            <w:vAlign w:val="center"/>
            <w:tcMar>
              <w:top w:w="65" w:type="dxa"/>
              <w:start w:w="75" w:type="dxa"/>
              <w:bottom w:w="65" w:type="dxa"/>
              <w:end w:w="75" w:type="dxa"/>
            </w:tcMar>
          </w:tcPr>
          <w:p>
            <w:r>
              <w:rPr>
                <w:rFonts w:ascii="Arial" w:hAnsi="Arial"/>
                <w:sz w:val="16"/>
              </w:rPr>
              <w:t>Péristaltisme : propulsion du contenu</w:t>
            </w:r>
          </w:p>
        </w:tc>
      </w:tr>
      <w:tr>
        <w:tc>
          <w:tcPr>
            <w:tcW w:type="dxa" w:w="4535"/>
            <w:shd w:fill="F7F9FB"/>
            <w:vAlign w:val="center"/>
            <w:tcMar>
              <w:top w:w="65" w:type="dxa"/>
              <w:start w:w="75" w:type="dxa"/>
              <w:bottom w:w="65" w:type="dxa"/>
              <w:end w:w="75" w:type="dxa"/>
            </w:tcMar>
          </w:tcPr>
          <w:p>
            <w:r>
              <w:rPr>
                <w:rFonts w:ascii="Arial" w:hAnsi="Arial"/>
                <w:sz w:val="16"/>
              </w:rPr>
              <w:t>Pancréas exocrine : suc pancréatique</w:t>
            </w:r>
          </w:p>
        </w:tc>
        <w:tc>
          <w:tcPr>
            <w:tcW w:type="dxa" w:w="4819"/>
            <w:shd w:fill="F7F9FB"/>
            <w:vAlign w:val="center"/>
            <w:tcMar>
              <w:top w:w="65" w:type="dxa"/>
              <w:start w:w="75" w:type="dxa"/>
              <w:bottom w:w="65" w:type="dxa"/>
              <w:end w:w="75" w:type="dxa"/>
            </w:tcMar>
          </w:tcPr>
          <w:p>
            <w:r>
              <w:rPr>
                <w:rFonts w:ascii="Arial" w:hAnsi="Arial"/>
                <w:sz w:val="16"/>
              </w:rPr>
              <w:t>Pancréas endocrine : insuline et glucagon</w:t>
            </w:r>
          </w:p>
        </w:tc>
      </w:tr>
      <w:tr>
        <w:tc>
          <w:tcPr>
            <w:tcW w:type="dxa" w:w="4535"/>
            <w:shd w:fill="FFFFFF"/>
            <w:vAlign w:val="center"/>
            <w:tcMar>
              <w:top w:w="65" w:type="dxa"/>
              <w:start w:w="75" w:type="dxa"/>
              <w:bottom w:w="65" w:type="dxa"/>
              <w:end w:w="75" w:type="dxa"/>
            </w:tcMar>
          </w:tcPr>
          <w:p>
            <w:r>
              <w:rPr>
                <w:rFonts w:ascii="Arial" w:hAnsi="Arial"/>
                <w:sz w:val="16"/>
              </w:rPr>
              <w:t>Vaisseaux sanguins de la villosité : nombreux nutriments</w:t>
            </w:r>
          </w:p>
        </w:tc>
        <w:tc>
          <w:tcPr>
            <w:tcW w:type="dxa" w:w="4819"/>
            <w:shd w:fill="FFFFFF"/>
            <w:vAlign w:val="center"/>
            <w:tcMar>
              <w:top w:w="65" w:type="dxa"/>
              <w:start w:w="75" w:type="dxa"/>
              <w:bottom w:w="65" w:type="dxa"/>
              <w:end w:w="75" w:type="dxa"/>
            </w:tcMar>
          </w:tcPr>
          <w:p>
            <w:r>
              <w:rPr>
                <w:rFonts w:ascii="Arial" w:hAnsi="Arial"/>
                <w:sz w:val="16"/>
              </w:rPr>
              <w:t>Vaisseau chylifère : transport des chylomicrons</w:t>
            </w:r>
          </w:p>
        </w:tc>
      </w:tr>
      <w:tr>
        <w:tc>
          <w:tcPr>
            <w:tcW w:type="dxa" w:w="4535"/>
            <w:shd w:fill="F7F9FB"/>
            <w:vAlign w:val="center"/>
            <w:tcMar>
              <w:top w:w="65" w:type="dxa"/>
              <w:start w:w="75" w:type="dxa"/>
              <w:bottom w:w="65" w:type="dxa"/>
              <w:end w:w="75" w:type="dxa"/>
            </w:tcMar>
          </w:tcPr>
          <w:p>
            <w:r>
              <w:rPr>
                <w:rFonts w:ascii="Arial" w:hAnsi="Arial"/>
                <w:sz w:val="16"/>
              </w:rPr>
              <w:t>Chyme : contenu gastrique</w:t>
            </w:r>
          </w:p>
        </w:tc>
        <w:tc>
          <w:tcPr>
            <w:tcW w:type="dxa" w:w="4819"/>
            <w:shd w:fill="F7F9FB"/>
            <w:vAlign w:val="center"/>
            <w:tcMar>
              <w:top w:w="65" w:type="dxa"/>
              <w:start w:w="75" w:type="dxa"/>
              <w:bottom w:w="65" w:type="dxa"/>
              <w:end w:w="75" w:type="dxa"/>
            </w:tcMar>
          </w:tcPr>
          <w:p>
            <w:r>
              <w:rPr>
                <w:rFonts w:ascii="Arial" w:hAnsi="Arial"/>
                <w:sz w:val="16"/>
              </w:rPr>
              <w:t>Chyle : contenu intestinal après digestion duodénale</w:t>
            </w:r>
          </w:p>
        </w:tc>
      </w:tr>
    </w:tbl>
    <w:p>
      <w:pPr>
        <w:spacing w:after="20"/>
      </w:pPr>
    </w:p>
    <w:tbl>
      <w:tblPr>
        <w:tblW w:type="auto" w:w="0"/>
        <w:jc w:val="center"/>
        <w:tblLayout w:type="autofit"/>
        <w:tblLook w:firstColumn="1" w:firstRow="1" w:lastColumn="0" w:lastRow="0" w:noHBand="0" w:noVBand="1" w:val="04A0"/>
      </w:tblPr>
      <w:tblGrid>
        <w:gridCol w:w="10148"/>
      </w:tblGrid>
      <w:tr>
        <w:tc>
          <w:tcPr>
            <w:tcW w:type="dxa" w:w="10148"/>
            <w:shd w:fill="EAF5ED"/>
            <w:tcBorders>
              <w:top w:val="nil"/>
              <w:left w:val="single" w:sz="22" w:color="4C956C"/>
              <w:bottom w:val="nil"/>
              <w:right w:val="nil"/>
            </w:tcBorders>
            <w:tcMar>
              <w:top w:w="90" w:type="dxa"/>
              <w:start w:w="130" w:type="dxa"/>
              <w:bottom w:w="90" w:type="dxa"/>
              <w:end w:w="130" w:type="dxa"/>
            </w:tcMar>
          </w:tcPr>
          <w:p>
            <w:pPr>
              <w:spacing w:after="40"/>
            </w:pPr>
            <w:r>
              <w:rPr>
                <w:rFonts w:ascii="Arial" w:hAnsi="Arial"/>
                <w:b/>
                <w:color w:val="4C956C"/>
                <w:sz w:val="20"/>
              </w:rPr>
              <w:t>Dernier rappel</w:t>
            </w:r>
          </w:p>
          <w:p>
            <w:pPr>
              <w:spacing w:after="20"/>
            </w:pPr>
            <w:r>
              <w:rPr>
                <w:rFonts w:ascii="Arial" w:hAnsi="Arial"/>
                <w:sz w:val="18"/>
              </w:rPr>
              <w:t>Le sens général à maîtriser : ALIMENTS → BOL ALIMENTAIRE → CHYME → CHYLE → FÈCES, avec digestion mécanique + chimique puis absorption.</w:t>
            </w:r>
          </w:p>
        </w:tc>
      </w:tr>
    </w:tbl>
    <w:p>
      <w:pPr>
        <w:spacing w:after="20"/>
      </w:pPr>
    </w:p>
    <w:p>
      <w:pPr>
        <w:pStyle w:val="Heading2"/>
      </w:pPr>
      <w:r>
        <w:t>Thèmes annoncés « pour aller plus loin » dans le diaporama</w:t>
      </w:r>
    </w:p>
    <w:p>
      <w:r>
        <w:rPr>
          <w:rFonts w:ascii="Arial" w:hAnsi="Arial"/>
        </w:rPr>
        <w:t>Le diaporama cite, sans les développer : les réflexes de salivation (inné et conditionné — Ivan Pavlov), le microbiote intestinal, le contrôle nerveux du tube digestif et le contrôle hormonal du tube digestif. Aucun détail extérieur n’a été ajouté ici.</w:t>
      </w:r>
    </w:p>
    <w:tbl>
      <w:tblPr>
        <w:tblW w:type="auto" w:w="0"/>
        <w:jc w:val="center"/>
        <w:tblLayout w:type="autofit"/>
        <w:tblLook w:firstColumn="1" w:firstRow="1" w:lastColumn="0" w:lastRow="0" w:noHBand="0" w:noVBand="1" w:val="04A0"/>
      </w:tblPr>
      <w:tblGrid>
        <w:gridCol w:w="10148"/>
      </w:tblGrid>
      <w:tr>
        <w:tc>
          <w:tcPr>
            <w:tcW w:type="dxa" w:w="10148"/>
            <w:shd w:fill="F4F6F8"/>
            <w:tcBorders>
              <w:top w:val="nil"/>
              <w:left w:val="single" w:sz="22" w:color="6A7480"/>
              <w:bottom w:val="nil"/>
              <w:right w:val="nil"/>
            </w:tcBorders>
            <w:tcMar>
              <w:top w:w="90" w:type="dxa"/>
              <w:start w:w="130" w:type="dxa"/>
              <w:bottom w:w="90" w:type="dxa"/>
              <w:end w:w="130" w:type="dxa"/>
            </w:tcMar>
          </w:tcPr>
          <w:p>
            <w:pPr>
              <w:spacing w:after="40"/>
            </w:pPr>
            <w:r>
              <w:rPr>
                <w:rFonts w:ascii="Arial" w:hAnsi="Arial"/>
                <w:b/>
                <w:color w:val="6A7480"/>
                <w:sz w:val="20"/>
              </w:rPr>
              <w:t>Sources utilisées</w:t>
            </w:r>
          </w:p>
          <w:p>
            <w:pPr>
              <w:spacing w:after="20"/>
            </w:pPr>
            <w:r>
              <w:rPr>
                <w:rFonts w:ascii="Arial" w:hAnsi="Arial"/>
                <w:sz w:val="18"/>
              </w:rPr>
              <w:t>1) Diaporama « L’appareil digestif et la digestion » — IFSI, cours de 1re année. 2) Capture du cours « La fonction digestive » de Réussis ton IFSI fournie dans la conversation. Aucune autre source.</w:t>
            </w:r>
          </w:p>
        </w:tc>
      </w:tr>
    </w:tbl>
    <w:p>
      <w:pPr>
        <w:spacing w:after="20"/>
      </w:pPr>
    </w:p>
    <w:sectPr w:rsidR="00FC693F" w:rsidRPr="0006063C" w:rsidSect="00034616">
      <w:headerReference w:type="default" r:id="rId9"/>
      <w:footerReference w:type="default" r:id="rId10"/>
      <w:pgSz w:w="11906" w:h="16838"/>
      <w:pgMar w:top="822"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480"/>
        <w:sz w:val="16"/>
      </w:rPr>
      <w:t xml:space="preserve">Cours de révision • Documents fournis uniquement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A7480"/>
        <w:sz w:val="16"/>
      </w:rPr>
      <w:t>IFSI — Appareil digestif et digestion | Cours fusionné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16A78"/>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D75D5D"/>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356D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16A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40" w:after="140"/>
    </w:pPr>
    <w:rPr>
      <w:rFonts w:ascii="Arial" w:hAnsi="Arial"/>
      <w:i/>
      <w:color w:val="6A7480"/>
      <w:sz w:val="16"/>
    </w:rPr>
  </w:style>
  <w:style w:type="paragraph" w:customStyle="1" w:styleId="SmallNote">
    <w:name w:val="SmallNote"/>
    <w:pPr>
      <w:spacing w:after="60"/>
    </w:pPr>
    <w:rPr>
      <w:rFonts w:ascii="Arial" w:hAnsi="Arial"/>
      <w:color w:val="6A74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L’appareil digestif et la digestion — cours fusionné</dc:title>
  <dc:subject>Cours IFSI de révision</dc:subject>
  <dc:creator>ChatGPT — synthèse à partir des documents fournis</dc:creator>
  <cp:keywords/>
  <dc:description>generated by python-docx</dc:description>
  <cp:lastModifiedBy/>
  <cp:revision>1</cp:revision>
  <dcterms:created xsi:type="dcterms:W3CDTF">2013-12-23T23:15:00Z</dcterms:created>
  <dcterms:modified xsi:type="dcterms:W3CDTF">2013-12-23T23:15:00Z</dcterms:modified>
  <cp:category/>
</cp:coreProperties>
</file>