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GlucoTwin</w:t>
        <w:br/>
        <w:t>20-Minute Demo Video Script</w:t>
      </w:r>
    </w:p>
    <w:p>
      <w:r>
        <w:t>Team: Manas Girdhar (Team Leader), BIT Mesra; Moulvi Gufran, GMC Vizianagaram.</w:t>
      </w:r>
    </w:p>
    <w:p>
      <w:r>
        <w:rPr>
          <w:i/>
        </w:rPr>
        <w:t>Duration rule note: the Unstop submission checklist shown by the team says 15–20 minutes, while the challenge listing was previously read as requiring at least 20 minutes. To satisfy both as closely as possible, record and edit to exactly 20:00, and verify the portal wording immediately before upload.</w:t>
      </w:r>
    </w:p>
    <w:p>
      <w:pPr>
        <w:jc w:val="center"/>
      </w:pPr>
      <w:r>
        <w:rPr>
          <w:b/>
        </w:rPr>
        <w:t>Digital Twin Challenge 2026 • Happiest Health</w:t>
      </w:r>
    </w:p>
    <w:p>
      <w:r>
        <w:t>Important recording note: The Unstop submission form screenshot says a 15–20 minute demo video; the challenge listing was previously interpreted as requiring at least 20 minutes. This script is timed to 20:00 to satisfy both interpretations as closely as possible. Verify the current portal wording and final exported runtime before upload. The supplied files did not include real-data training results or a clinical validation study.</w:t>
      </w:r>
    </w:p>
    <w:p>
      <w:pPr>
        <w:pStyle w:val="Heading1"/>
      </w:pPr>
      <w:r>
        <w:t>Production checklist</w:t>
      </w:r>
    </w:p>
    <w:p>
      <w:pPr>
        <w:pStyle w:val="ListBullet"/>
      </w:pPr>
      <w:r>
        <w:t>Record at 1080p with readable cursor movement and no private accounts or identifiers.</w:t>
      </w:r>
    </w:p>
    <w:p>
      <w:pPr>
        <w:pStyle w:val="ListBullet"/>
      </w:pPr>
      <w:r>
        <w:t>Keep the public challenge requirement and project title visible in the opening.</w:t>
      </w:r>
    </w:p>
    <w:p>
      <w:pPr>
        <w:pStyle w:val="ListBullet"/>
      </w:pPr>
      <w:r>
        <w:t>Use the real running application for the demo if available; otherwise label UI screens as conceptual and do not claim the model is working.</w:t>
      </w:r>
    </w:p>
    <w:p>
      <w:pPr>
        <w:pStyle w:val="ListBullet"/>
      </w:pPr>
      <w:r>
        <w:t>Do not present synthetic-demo scores as real-world or clinical accuracy; never invent results, outcomes, integrations, or live sensor status.</w:t>
      </w:r>
    </w:p>
    <w:p>
      <w:pPr>
        <w:pStyle w:val="ListBullet"/>
      </w:pPr>
      <w:r>
        <w:t>Aim for a final runtime of exactly 20:00 to reconcile the submission form's 15–20-minute wording with the challenge listing's stated minimum of 20 minutes.</w:t>
      </w:r>
    </w:p>
    <w:p>
      <w:pPr>
        <w:pStyle w:val="ListBullet"/>
      </w:pPr>
      <w:r>
        <w:t>Show source links and the public repository; test all links in a logged-out browser.</w:t>
      </w:r>
    </w:p>
    <w:p>
      <w:pPr>
        <w:pStyle w:val="ListBullet"/>
      </w:pPr>
      <w:r>
        <w:t>Use only licensed or self-created visuals and no unlicensed music.</w:t>
      </w:r>
    </w:p>
    <w:p>
      <w:pPr>
        <w:pStyle w:val="Heading1"/>
      </w:pPr>
      <w:r>
        <w:t>00:00–01:00 | Opening and project fit</w:t>
      </w:r>
    </w:p>
    <w:p>
      <w:r>
        <w:rPr>
          <w:b/>
          <w:color w:val="1B9E94"/>
        </w:rPr>
        <w:t>[ON SCREEN: Title slide. Show “GlucoTwin — a patient-specific digital twin for short-horizon glucose-excursion forecasting.” Keep the challenge name visible.]</w:t>
      </w:r>
    </w:p>
    <w:p/>
    <w:p>
      <w:r>
        <w:t>Hello, and welcome to our Digital Twin Challenge 2026 submission. We are presenting GlucoTwin, a focused proof-of-concept concept for Type 2 diabetes. The goal is specific: combine a patient’s historical clinical profile with their continuous glucose monitoring history and event timeline, update a virtual patient state as new readings arrive, and estimate whether glucose will cross above 180 milligrams per decilitre within the next 60 minutes.</w:t>
      </w:r>
    </w:p>
    <w:p/>
    <w:p>
      <w:r>
        <w:t>We began with Matri-Kavach, our maternal referral coordination concept. That work taught us useful lessons about workflow design, audit trails, role-based interfaces, and clinical safety. But referral coordination is not itself a predictive physiological digital twin. Rather than relabel the old project, we are keeping those engineering lessons and changing the clinical use case to fit this challenge honestly.</w:t>
      </w:r>
    </w:p>
    <w:p>
      <w:pPr>
        <w:pStyle w:val="Heading1"/>
      </w:pPr>
      <w:r>
        <w:t>01:00–02:10 | The problem</w:t>
      </w:r>
    </w:p>
    <w:p>
      <w:r>
        <w:rPr>
          <w:b/>
          <w:color w:val="1B9E94"/>
        </w:rPr>
        <w:t>[ON SCREEN: Slide 3. Point to the patient population, target event, and forecast horizon.]</w:t>
      </w:r>
    </w:p>
    <w:p/>
    <w:p>
      <w:r>
        <w:t>Diabetes management involves more than a single laboratory result. A clinician may have access to a patient’s age, body mass index, diabetes duration, HbA1c, medication history, and other laboratory measurements. At the same time, a continuous glucose monitor records a changing glucose trajectory, while meal and medication records provide context for those changes.</w:t>
      </w:r>
    </w:p>
    <w:p/>
    <w:p>
      <w:r>
        <w:t>A static profile cannot tell us what is happening now. A sensor trace alone may miss longer-term clinical context. GlucoTwin is designed to combine both types of information and show the result in a form that a clinician can inspect.</w:t>
      </w:r>
    </w:p>
    <w:p/>
    <w:p>
      <w:r>
        <w:t>Our target is deliberately narrow. At a given time, when the current CGM value is at or below 180 milligrams per decilitre, we ask whether any of the next four 15-minute measurements will be above 180. That defines a new above-range excursion within the next hour. If the current value is already above the threshold, we treat that as an observed state rather than pretending it is a new onset event.</w:t>
      </w:r>
    </w:p>
    <w:p>
      <w:pPr>
        <w:pStyle w:val="Heading1"/>
      </w:pPr>
      <w:r>
        <w:t>02:10–03:20 | Why this target</w:t>
      </w:r>
    </w:p>
    <w:p>
      <w:r>
        <w:rPr>
          <w:b/>
          <w:color w:val="1B9E94"/>
        </w:rPr>
        <w:t>[ON SCREEN: Show the timeline from t minus 60 minutes to t plus 60 minutes.]</w:t>
      </w:r>
    </w:p>
    <w:p/>
    <w:p>
      <w:r>
        <w:t>The 180 milligrams per decilitre threshold is used here as a monitoring reference because international continuous glucose monitoring consensus guidance defines 70 to 180 as the usual target range for many people with diabetes. We are not claiming that every reading above 180 is an emergency, nor are we diagnosing a complication. We are using a clear, reproducible label for an early-warning forecasting experiment.</w:t>
      </w:r>
    </w:p>
    <w:p/>
    <w:p>
      <w:r>
        <w:t>The prediction horizon is 60 minutes. The selected dataset samples CGM every 15 minutes, so the future label can be constructed from the next four measurements. A 60-minute horizon is also common in glucose forecasting research. It is long enough to demonstrate forecasting beyond the current reading, but short enough to evaluate with the available time-series data.</w:t>
      </w:r>
    </w:p>
    <w:p/>
    <w:p>
      <w:r>
        <w:t>The output is an estimate that a clinician can review—not a treatment instruction. GlucoTwin will not recommend an insulin dose, change medication, or automatically initiate a clinical action.</w:t>
      </w:r>
    </w:p>
    <w:p>
      <w:pPr>
        <w:pStyle w:val="Heading1"/>
      </w:pPr>
      <w:r>
        <w:t>03:20–05:00 | Data sources</w:t>
      </w:r>
    </w:p>
    <w:p>
      <w:r>
        <w:rPr>
          <w:b/>
          <w:color w:val="1B9E94"/>
        </w:rPr>
        <w:t>[ON SCREEN: Show the primary dataset card and the source URL in the repository README.]</w:t>
      </w:r>
    </w:p>
    <w:p/>
    <w:p>
      <w:r>
        <w:t>Our primary data source is the publicly available ShanghaiT2DM dataset described by Zhao and colleagues in Scientific Data in 2023. It includes 100 people with Type 2 diabetes, 109 CGM recording files, and 112,475 glucose measurements sampled every 15 minutes over recording periods of approximately three to fourteen days.</w:t>
      </w:r>
    </w:p>
    <w:p/>
    <w:p>
      <w:r>
        <w:t>The important point is that this dataset pairs CGM trajectories with patient-level clinical characteristics, laboratory measurements, medication information, and dietary records. We can link these streams through the identifiers supplied within the dataset rather than pretending that unrelated people from separate datasets are the same person. The Figshare dataset is licensed under Creative Commons Attribution 4.0, so the repository must include the citation and attribution.</w:t>
      </w:r>
    </w:p>
    <w:p/>
    <w:p>
      <w:r>
        <w:t>We also reviewed CGMacros as a possible secondary robustness dataset. It includes 45 participants, including 14 with Type 2 diabetes, alongside CGM, Fitbit activity and heart-rate signals, meal macronutrients, and baseline clinical measurements. That is useful multimodal evidence, but its Type 2 diabetes subgroup is small. We would use it only as an independent exploratory evaluation, not merge its participants with the Shanghai cohort.</w:t>
      </w:r>
    </w:p>
    <w:p/>
    <w:p>
      <w:r>
        <w:t>One important limitation is that the primary cohort was collected in China, not India. This prototype cannot establish performance for Indian patients. A future step would be validation on a representative Indian cohort under the required approvals.</w:t>
      </w:r>
    </w:p>
    <w:p>
      <w:pPr>
        <w:pStyle w:val="Heading1"/>
      </w:pPr>
      <w:r>
        <w:t>05:00–06:30 | The two streams and fusion</w:t>
      </w:r>
    </w:p>
    <w:p>
      <w:r>
        <w:rPr>
          <w:b/>
          <w:color w:val="1B9E94"/>
        </w:rPr>
        <w:t>[ON SCREEN: Open the architecture slide. Highlight static inputs, dynamic inputs, and the fusion block.]</w:t>
      </w:r>
    </w:p>
    <w:p/>
    <w:p>
      <w:r>
        <w:t>The static or historical stream includes age, sex, body mass index, diabetes duration, smoking history where available, comorbidities, medications, HbA1c, fasting and post-meal glucose measurements, and other recorded laboratory values. We select only variables available in the dataset and available before the forecast time.</w:t>
      </w:r>
    </w:p>
    <w:p/>
    <w:p>
      <w:r>
        <w:t>The dynamic stream includes the most recent four hours of CGM values, which gives sixteen readings at 15-minute intervals. We derive features such as the current value, recent slope, rolling mean, variability, and time since the last recorded meal or medication event. All meal and medication events are cut off at the prediction time. Future events must never enter the input.</w:t>
      </w:r>
    </w:p>
    <w:p/>
    <w:p>
      <w:r>
        <w:t>The streams are joined by the dataset’s own patient identifier and timestamps. We check units, duplicates, missing periods, and temporal order. We preserve the original sampling interval. If a data source has interpolated readings, we do not treat those interpolated values as independent sensor measurements. Missingness is itself visible to the system; long gaps should lead to a warning or abstention, not false confidence.</w:t>
      </w:r>
    </w:p>
    <w:p>
      <w:pPr>
        <w:pStyle w:val="Heading1"/>
      </w:pPr>
      <w:r>
        <w:t>06:30–08:00 | What makes it a digital twin</w:t>
      </w:r>
    </w:p>
    <w:p>
      <w:r>
        <w:rPr>
          <w:b/>
          <w:color w:val="1B9E94"/>
        </w:rPr>
        <w:t>[ON SCREEN: Show the patient-state loop: baseline → CGM update → state update → forecast → next update.]</w:t>
      </w:r>
    </w:p>
    <w:p/>
    <w:p>
      <w:r>
        <w:t>The digital twin is the evolving patient state, not just a probability score. It has a baseline clinical profile, a rolling time-series window, the recent event timeline, the latest prediction, and metadata about when each input was last updated.</w:t>
      </w:r>
    </w:p>
    <w:p/>
    <w:p>
      <w:r>
        <w:t>When a new CGM observation arrives, the system validates the reading, appends it to the patient’s timeline, refreshes the rolling features, and requests a new forecast. The dashboard retains the previous prediction so that the clinician can see what changed over time.</w:t>
      </w:r>
    </w:p>
    <w:p/>
    <w:p>
      <w:r>
        <w:t>We are not claiming to simulate every organ or the complete physiology of a human body. This is a scoped digital twin proof of concept for a single condition and one short-horizon event. That distinction matters. A classifier that runs once on a static spreadsheet would not demonstrate the updating behaviour we want. The update loop, state history, and source timestamps are part of the design.</w:t>
      </w:r>
    </w:p>
    <w:p>
      <w:pPr>
        <w:pStyle w:val="Heading1"/>
      </w:pPr>
      <w:r>
        <w:t>08:00–09:30 | Architecture and implementation</w:t>
      </w:r>
    </w:p>
    <w:p>
      <w:r>
        <w:rPr>
          <w:b/>
          <w:color w:val="1B9E94"/>
        </w:rPr>
        <w:t>[ON SCREEN: Walk from data input through validation, feature building, model inference, and dashboard.]</w:t>
      </w:r>
    </w:p>
    <w:p/>
    <w:p>
      <w:r>
        <w:t>The recommended minimum stack is Python, pandas, scikit-learn, XGBoost, Streamlit, and SQLite. A CSV-based data loader is sufficient for the first prototype. We do not need to build a large distributed backend before proving the central workflow.</w:t>
      </w:r>
    </w:p>
    <w:p/>
    <w:p>
      <w:r>
        <w:t>The ingestion module reads the clinical summary, CGM data, and time-stamped event records. The validation module checks required columns, units, plausible ranges, and timestamp order. The state builder forms the four-hour lookback window and fuses static patient attributes with the dynamic features. The inference module runs a baseline and a candidate model. The dashboard shows the current state, the forecast horizon, an explanation summary, data freshness, and previous predictions.</w:t>
      </w:r>
    </w:p>
    <w:p/>
    <w:p>
      <w:r>
        <w:t>We would log the patient pseudonym, timestamp, model version, input window version, output, and any warning or abstention. The demo uses synthetic display names and no direct patient identifiers. The source data are de-identified research data, and the repository should link to the dataset rather than republish unnecessary raw records.</w:t>
      </w:r>
    </w:p>
    <w:p>
      <w:pPr>
        <w:pStyle w:val="Heading1"/>
      </w:pPr>
      <w:r>
        <w:t>09:30–11:40 | Dashboard walkthrough</w:t>
      </w:r>
    </w:p>
    <w:p>
      <w:r>
        <w:t>[ON SCREEN: Launch the included Streamlit app and select a synthetic patient. State clearly that the data and model score are synthetic and are not clinical evidence.]</w:t>
      </w:r>
    </w:p>
    <w:p/>
    <w:p>
      <w:r>
        <w:t>This is the doctor-facing view. At the top, we show a synthetic patient identifier and the last-update time. The current CGM value and recent trend are visible immediately. The clinical summary shows selected baseline information such as HbA1c, BMI, diabetes duration, and relevant medication history, where available.</w:t>
      </w:r>
    </w:p>
    <w:p/>
    <w:p>
      <w:r>
        <w:t>The repository includes a runnable model trained on generated synthetic trajectories. Its displayed score is for software demonstration only, not a real-patient result. The ShanghaiT2DM dataset has not been evaluated by this package, and the demo does not establish clinical accuracy. Never narrate synthetic values as real clinical measurements.</w:t>
      </w:r>
    </w:p>
    <w:p/>
    <w:p>
      <w:r>
        <w:t>The explanation panel lists factors actually available to the model, such as recent CGM slope, current glucose, a recorded meal event, or data freshness. These are model inputs or contributions, not causal explanations and not treatment advice. A missing-data banner appears if the latest observation is stale or if the lookback window is incomplete.</w:t>
      </w:r>
    </w:p>
    <w:p/>
    <w:p>
      <w:r>
        <w:t>The final panel records previous predictions, model version, and clinician review. The purpose is to make the prediction inspectable and traceable, not to replace clinical judgment.</w:t>
      </w:r>
    </w:p>
    <w:p>
      <w:pPr>
        <w:pStyle w:val="Heading1"/>
      </w:pPr>
      <w:r>
        <w:t>11:40–13:20 | Model plan</w:t>
      </w:r>
    </w:p>
    <w:p>
      <w:r>
        <w:rPr>
          <w:b/>
          <w:color w:val="1B9E94"/>
        </w:rPr>
        <w:t>[ON SCREEN: Show baseline → logistic regression → XGBoost.]</w:t>
      </w:r>
    </w:p>
    <w:p/>
    <w:p>
      <w:r>
        <w:t>We start with simple baselines. First is a persistence or current-state rule, which tells us how much can be achieved by carrying forward the recent glucose level or applying a transparent threshold rule. Second is logistic regression using the same input window and patient context. Third is a tree-based model such as XGBoost, which can capture nonlinear interactions without requiring a large neural network.</w:t>
      </w:r>
    </w:p>
    <w:p/>
    <w:p>
      <w:r>
        <w:t>The more complex model only earns its place if it improves held-out patient performance and does not create an unacceptable alert burden. We will not use a deep neural network simply because it sounds advanced. The dataset has 100 people and repeated observations, so the effective number of independent patients is much smaller than the number of CGM rows.</w:t>
      </w:r>
    </w:p>
    <w:p/>
    <w:p>
      <w:r>
        <w:t>The model’s output is a probability estimate for the defined event. We will calibrate probabilities on validation patients and select an alert threshold based on a predeclared trade-off between sensitivity and false alerts. If input quality is poor or the patient falls outside the data range, the system should display a warning or abstain rather than show false precision.</w:t>
      </w:r>
    </w:p>
    <w:p>
      <w:pPr>
        <w:pStyle w:val="Heading1"/>
      </w:pPr>
      <w:r>
        <w:t>13:20–15:00 | Evaluation and leakage prevention</w:t>
      </w:r>
    </w:p>
    <w:p>
      <w:r>
        <w:rPr>
          <w:b/>
          <w:color w:val="1B9E94"/>
        </w:rPr>
        <w:t>[ON SCREEN: Show the evaluation checklist and blank results table; do not fill it with invented numbers.]</w:t>
      </w:r>
    </w:p>
    <w:p/>
    <w:p>
      <w:r>
        <w:t>We will split the dataset by patient identifier, not by randomly dividing individual windows. A proposed split is 70 percent of patients for training, 15 percent for validation, and 15 percent for the final test. All recordings and windows from a patient must stay in the same split. Otherwise, the model may see a person’s nearly identical time series during training and testing, producing an overly optimistic result.</w:t>
      </w:r>
    </w:p>
    <w:p/>
    <w:p>
      <w:r>
        <w:t>All preprocessing, scaling, imputation rules, and threshold selection are fitted using the training or validation data only. For each prediction time, feature construction can see the past but not future readings. Labels are created separately from the next hour of measurements.</w:t>
      </w:r>
    </w:p>
    <w:p/>
    <w:p>
      <w:r>
        <w:t>We will report AUROC and area under the precision-recall curve, sensitivity and specificity, Brier score or other calibration measures, and false alerts per patient-day. We will also compare static-only, CGM-only, and fused models. This ablation is central: it tests whether the clinical context adds value beyond the sensor stream. If it does not, we will report that result and use the simpler model.</w:t>
      </w:r>
    </w:p>
    <w:p/>
    <w:p>
      <w:r>
        <w:t>This package contains a working synthetic training pipeline and reproducible synthetic-only metrics. It does not include a verified ShanghaiT2DM evaluation or clinical validation. Any real-data result table must be filled only after that experiment has run and can be reproduced from the repository.</w:t>
      </w:r>
    </w:p>
    <w:p>
      <w:pPr>
        <w:pStyle w:val="Heading1"/>
      </w:pPr>
      <w:r>
        <w:t>15:00–16:20 | Prior art and differentiation</w:t>
      </w:r>
    </w:p>
    <w:p>
      <w:r>
        <w:rPr>
          <w:b/>
          <w:color w:val="1B9E94"/>
        </w:rPr>
        <w:t>[ON SCREEN: Show the prior-art slide.]</w:t>
      </w:r>
    </w:p>
    <w:p/>
    <w:p>
      <w:r>
        <w:t>We reviewed several closely related resources. The ShanghaiT2DM dataset already supports research using clinical features and CGM. CGMacros adds activity, heart-rate, food macronutrients, and laboratory data in a smaller cohort. DiaTrend provides extensive longitudinal CGM and insulin pump data for people with Type 1 diabetes. Published studies have already investigated 60-minute CGM forecasting, patient-specific adaptation, and fairness. The UVA/Padova simulator is another established approach for virtual-patient simulation and artificial-pancreas research, primarily in Type 1 diabetes.</w:t>
      </w:r>
    </w:p>
    <w:p/>
    <w:p>
      <w:r>
        <w:t>This means we do not claim that GlucoTwin invents glucose forecasting or is the world’s first digital twin. The proposed contribution is a reproducible, transparent workflow that keeps patient state, data freshness, event history, forecast uncertainty, and evaluation evidence visible in one doctor-facing proof of concept. The contribution becomes credible only if the code, ablations, and held-out patient results demonstrate it.</w:t>
      </w:r>
    </w:p>
    <w:p>
      <w:pPr>
        <w:pStyle w:val="Heading1"/>
      </w:pPr>
      <w:r>
        <w:t>16:20–17:30 | Safety, privacy and limitations</w:t>
      </w:r>
    </w:p>
    <w:p>
      <w:r>
        <w:rPr>
          <w:b/>
          <w:color w:val="1B9E94"/>
        </w:rPr>
        <w:t>[ON SCREEN: Show safety cards.]</w:t>
      </w:r>
    </w:p>
    <w:p/>
    <w:p>
      <w:r>
        <w:t>This is a research prototype, not a clinically validated medical device. The output is not a diagnosis, and it must not be used to prescribe or change treatment. False positives can create alert fatigue; false negatives can miss a future excursion. A probability can be misleading if it is poorly calibrated or applied to a different population.</w:t>
      </w:r>
    </w:p>
    <w:p/>
    <w:p>
      <w:r>
        <w:t>We will show when the last reading was received, warn about missing data, record the model version, and avoid a forecast when inputs are incomplete or out of distribution. Public de-identified data and synthetic dashboard identifiers are used for the demonstration. The public repository will include data attribution, code licensing, known limitations, and instructions to obtain the dataset.</w:t>
      </w:r>
    </w:p>
    <w:p/>
    <w:p>
      <w:r>
        <w:t>The primary cohort is from China and is small in terms of independent patients. Before clinical use, the approach would require external validation in a representative Indian population, prospective evaluation, clinical workflow review, appropriate ethics and data-protection approvals, and any applicable regulatory assessment. Those steps are future requirements, not claims about the current prototype.</w:t>
      </w:r>
    </w:p>
    <w:p>
      <w:pPr>
        <w:pStyle w:val="Heading1"/>
      </w:pPr>
      <w:r>
        <w:t>17:30–18:40 | Reproducibility and submission</w:t>
      </w:r>
    </w:p>
    <w:p>
      <w:r>
        <w:rPr>
          <w:b/>
          <w:color w:val="1B9E94"/>
        </w:rPr>
        <w:t>[ON SCREEN: Show the public repository structure once created: README, data instructions, src, tests, docs, model evaluation.]</w:t>
      </w:r>
    </w:p>
    <w:p/>
    <w:p>
      <w:r>
        <w:t>A reviewer should be able to understand what the project does, where the data come from, how the labels are defined, and how to reproduce the reported results. The repository should contain the README with team and college details, project title, problem statement, technical stack, model details, licence, architecture diagram, presentation, and video link required by the challenge.</w:t>
      </w:r>
    </w:p>
    <w:p/>
    <w:p>
      <w:r>
        <w:t>The code should include the data-loading and preprocessing steps, the patient-level split manifest, model training and evaluation scripts, a small synthetic example for UI testing, and tests for timestamps, missing readings, and label generation. The raw dataset does not need to be copied into the repository if a source link and retrieval instructions are sufficient.</w:t>
      </w:r>
    </w:p>
    <w:p/>
    <w:p>
      <w:r>
        <w:t>Before submission, check that the repository is public and all links are accessible without sign-in. The official listing specifies a minimum 20-minute video, so this recording should be at least 20 minutes after editing, with no private data or unsupported result claims.</w:t>
      </w:r>
    </w:p>
    <w:p>
      <w:pPr>
        <w:pStyle w:val="Heading1"/>
      </w:pPr>
      <w:r>
        <w:t>18:40–20:00 | Close and honest status</w:t>
      </w:r>
    </w:p>
    <w:p>
      <w:r>
        <w:rPr>
          <w:b/>
          <w:color w:val="1B9E94"/>
        </w:rPr>
        <w:t>[ON SCREEN: Final slide with the target, safety statement, and source links.]</w:t>
      </w:r>
    </w:p>
    <w:p/>
    <w:p>
      <w:r>
        <w:t>To summarize, GlucoTwin addresses one specific question: using a patient’s baseline clinical context and recent continuous glucose measurements, can we estimate whether glucose will cross above 180 milligrams per decilitre within the next 60 minutes? The digital twin updates as new measurements arrive, and the clinician-facing interface shows the forecast together with its inputs, freshness, uncertainty, and history.</w:t>
      </w:r>
    </w:p>
    <w:p/>
    <w:p>
      <w:r>
        <w:t>The strongest version of this project is not the one with the most complicated model or the most dramatic claims. It is the one that demonstrates correct patient matching, leakage-safe evaluation, a working update loop, transparent limitations, and reproducible results. If the fused model does not outperform the CGM-only baseline, we will say so. If the data do not support a reliable forecast, we will show that too.</w:t>
      </w:r>
    </w:p>
    <w:p/>
    <w:p>
      <w:r>
        <w:t>Finally, this proof of concept does not recommend treatment, does not replace a clinician, and is not yet clinically validated. Our next milestone is to run the model on the selected dataset, publish the results and code, and validate the workflow before making any stronger claim. Thank you.</w:t>
      </w:r>
    </w:p>
    <w:p>
      <w:pPr>
        <w:pStyle w:val="Heading1"/>
      </w:pPr>
      <w:r>
        <w:t>Final 30-second playback check</w:t>
      </w:r>
    </w:p>
    <w:p>
      <w:r>
        <w:t>Confirm the final exported video is exactly 20:00 if possible; audio is clear; charts are legible; synthetic scores are labelled synthetic; no clinical performance is claimed; the README, deck and architecture diagram are public; and all links open without sign-in.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