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GlucoTwin</w:t>
        <w:br/>
        <w:t>Research, Compliance &amp; Build Pack</w:t>
      </w:r>
    </w:p>
    <w:p>
      <w:pPr>
        <w:jc w:val="center"/>
      </w:pPr>
      <w:r>
        <w:rPr>
          <w:i/>
        </w:rPr>
        <w:t>Prepared 20 October 2026 • Based on the supplied prompt, original 8-slide Matri-Kavach deck, master blueprint, official challenge listing, and public research</w:t>
      </w:r>
    </w:p>
    <w:p>
      <w:pPr>
        <w:pStyle w:val="Heading1"/>
      </w:pPr>
      <w:r>
        <w:t>Executive decision</w:t>
      </w:r>
    </w:p>
    <w:p>
      <w:r>
        <w:t>Recommendation: pivot the submission to GlucoTwin, a scoped Type 2 diabetes digital-twin proof of concept that predicts a new above-range glucose excursion within the next 60 minutes. Do not present the existing maternal referral coordination product as a Digital Twin Challenge solution. Preserve Matri-Kavach as a separate project.</w:t>
      </w:r>
    </w:p>
    <w:p>
      <w:r>
        <w:t>Why: the official challenge describes a dynamic virtual patient state built from historical EHR information and dynamic wearable/IoT readings, with an algorithm that predicts a specific adverse event and a doctor-facing dashboard. The existing deck focuses on maternal referral handoffs, hospital readiness, routing and closure; it does not demonstrate paired clinical-plus-sensor fusion or patient-specific physiological forecasting.</w:t>
      </w:r>
    </w:p>
    <w:p>
      <w:r>
        <w:t>Evidence status: the uploaded materials include an 8-slide PowerPoint and two Word documents, but no source code, downloaded dataset, trained model, evaluation outputs, public repository URL, or recorded demo. Therefore, this pack and deck are a research-backed design and implementation plan. If working code exists elsewhere, replace the status statements with verifiable evidence before submission.</w:t>
      </w:r>
    </w:p>
    <w:p>
      <w:pPr>
        <w:pStyle w:val="Heading1"/>
      </w:pPr>
      <w:r>
        <w:t>1. Official challenge rules verified</w:t>
      </w:r>
    </w:p>
    <w:p>
      <w:r>
        <w:t>Official page: https://unstop.com/hackathons/crp-digital-twin-challenge-2026-happiest-health-1757873</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sz w:val="16"/>
              </w:rPr>
              <w:t>Requirement</w:t>
            </w:r>
          </w:p>
        </w:tc>
        <w:tc>
          <w:tcPr>
            <w:tcW w:type="dxa" w:w="5184"/>
            <w:vAlign w:val="center"/>
          </w:tcPr>
          <w:p>
            <w:r>
              <w:rPr>
                <w:sz w:val="16"/>
              </w:rPr>
              <w:t>Verified interpretation / action</w:t>
            </w:r>
          </w:p>
        </w:tc>
      </w:tr>
      <w:tr>
        <w:tc>
          <w:tcPr>
            <w:tcW w:type="dxa" w:w="5184"/>
            <w:vAlign w:val="center"/>
          </w:tcPr>
          <w:p>
            <w:r>
              <w:rPr>
                <w:sz w:val="16"/>
              </w:rPr>
              <w:t>Challenge definition</w:t>
            </w:r>
          </w:p>
        </w:tc>
        <w:tc>
          <w:tcPr>
            <w:tcW w:type="dxa" w:w="5184"/>
            <w:vAlign w:val="center"/>
          </w:tcPr>
          <w:p>
            <w:r>
              <w:rPr>
                <w:sz w:val="16"/>
              </w:rPr>
              <w:t>Dynamic virtual patient replica; pair EHR with real-time wearable data; predict adverse health events; select one chronic/lifestyle condition.</w:t>
            </w:r>
          </w:p>
        </w:tc>
      </w:tr>
      <w:tr>
        <w:tc>
          <w:tcPr>
            <w:tcW w:type="dxa" w:w="5184"/>
            <w:vAlign w:val="center"/>
          </w:tcPr>
          <w:p>
            <w:r>
              <w:rPr>
                <w:sz w:val="16"/>
              </w:rPr>
              <w:t>Required streams</w:t>
            </w:r>
          </w:p>
        </w:tc>
        <w:tc>
          <w:tcPr>
            <w:tcW w:type="dxa" w:w="5184"/>
            <w:vAlign w:val="center"/>
          </w:tcPr>
          <w:p>
            <w:r>
              <w:rPr>
                <w:sz w:val="16"/>
              </w:rPr>
              <w:t>Static/historical EHR (demographics, diagnoses, labs, etc.) plus dynamic/simulated or open-source time-series from wearable/IoT, including CGM as an example.</w:t>
            </w:r>
          </w:p>
        </w:tc>
      </w:tr>
      <w:tr>
        <w:tc>
          <w:tcPr>
            <w:tcW w:type="dxa" w:w="5184"/>
            <w:vAlign w:val="center"/>
          </w:tcPr>
          <w:p>
            <w:r>
              <w:rPr>
                <w:sz w:val="16"/>
              </w:rPr>
              <w:t>Output</w:t>
            </w:r>
          </w:p>
        </w:tc>
        <w:tc>
          <w:tcPr>
            <w:tcW w:type="dxa" w:w="5184"/>
            <w:vAlign w:val="center"/>
          </w:tcPr>
          <w:p>
            <w:r>
              <w:rPr>
                <w:sz w:val="16"/>
              </w:rPr>
              <w:t>Working algorithmic model that ingests both streams and predicts a future event; conceptual doctor-facing UI.</w:t>
            </w:r>
          </w:p>
        </w:tc>
      </w:tr>
      <w:tr>
        <w:tc>
          <w:tcPr>
            <w:tcW w:type="dxa" w:w="5184"/>
            <w:vAlign w:val="center"/>
          </w:tcPr>
          <w:p>
            <w:r>
              <w:rPr>
                <w:sz w:val="16"/>
              </w:rPr>
              <w:t>Allowed data</w:t>
            </w:r>
          </w:p>
        </w:tc>
        <w:tc>
          <w:tcPr>
            <w:tcW w:type="dxa" w:w="5184"/>
            <w:vAlign w:val="center"/>
          </w:tcPr>
          <w:p>
            <w:r>
              <w:rPr>
                <w:sz w:val="16"/>
              </w:rPr>
              <w:t>Anonymized, open-source, or synthetic data. Synthea and MIMIC-IV are mentioned for EHR; wearable time-series may be open-source or simulated.</w:t>
            </w:r>
          </w:p>
        </w:tc>
      </w:tr>
      <w:tr>
        <w:tc>
          <w:tcPr>
            <w:tcW w:type="dxa" w:w="5184"/>
            <w:vAlign w:val="center"/>
          </w:tcPr>
          <w:p>
            <w:r>
              <w:rPr>
                <w:sz w:val="16"/>
              </w:rPr>
              <w:t>Repository</w:t>
            </w:r>
          </w:p>
        </w:tc>
        <w:tc>
          <w:tcPr>
            <w:tcW w:type="dxa" w:w="5184"/>
            <w:vAlign w:val="center"/>
          </w:tcPr>
          <w:p>
            <w:r>
              <w:rPr>
                <w:sz w:val="16"/>
              </w:rPr>
              <w:t>Public GitHub repository; README must include team and college/incubator, title, problem/use case, stack/model details, licence, architecture diagram and presentation.</w:t>
            </w:r>
          </w:p>
        </w:tc>
      </w:tr>
      <w:tr>
        <w:tc>
          <w:tcPr>
            <w:tcW w:type="dxa" w:w="5184"/>
            <w:vAlign w:val="center"/>
          </w:tcPr>
          <w:p>
            <w:r>
              <w:rPr>
                <w:sz w:val="16"/>
              </w:rPr>
              <w:t>Video</w:t>
            </w:r>
          </w:p>
        </w:tc>
        <w:tc>
          <w:tcPr>
            <w:tcW w:type="dxa" w:w="5184"/>
            <w:vAlign w:val="center"/>
          </w:tcPr>
          <w:p>
            <w:r>
              <w:rPr>
                <w:sz w:val="16"/>
              </w:rPr>
              <w:t>Minimum 20-minute video, recorded as a PowerPoint presentation or unlisted YouTube video.</w:t>
            </w:r>
          </w:p>
        </w:tc>
      </w:tr>
      <w:tr>
        <w:tc>
          <w:tcPr>
            <w:tcW w:type="dxa" w:w="5184"/>
            <w:vAlign w:val="center"/>
          </w:tcPr>
          <w:p>
            <w:r>
              <w:rPr>
                <w:sz w:val="16"/>
              </w:rPr>
              <w:t>Team</w:t>
            </w:r>
          </w:p>
        </w:tc>
        <w:tc>
          <w:tcPr>
            <w:tcW w:type="dxa" w:w="5184"/>
            <w:vAlign w:val="center"/>
          </w:tcPr>
          <w:p>
            <w:r>
              <w:rPr>
                <w:sz w:val="16"/>
              </w:rPr>
              <w:t>1–4 students, full-time students only; all details verified; team changes after registration not allowed.</w:t>
            </w:r>
          </w:p>
        </w:tc>
      </w:tr>
      <w:tr>
        <w:tc>
          <w:tcPr>
            <w:tcW w:type="dxa" w:w="5184"/>
            <w:vAlign w:val="center"/>
          </w:tcPr>
          <w:p>
            <w:r>
              <w:rPr>
                <w:sz w:val="16"/>
              </w:rPr>
              <w:t>Submission deadline</w:t>
            </w:r>
          </w:p>
        </w:tc>
        <w:tc>
          <w:tcPr>
            <w:tcW w:type="dxa" w:w="5184"/>
            <w:vAlign w:val="center"/>
          </w:tcPr>
          <w:p>
            <w:r>
              <w:rPr>
                <w:sz w:val="16"/>
              </w:rPr>
              <w:t>Prototype &amp; code submission: 20 Oct 2026, 7:00 PM IST. Registration deadline listed as 18 Oct 2026, 7:00 PM IST.</w:t>
            </w:r>
          </w:p>
        </w:tc>
      </w:tr>
      <w:tr>
        <w:tc>
          <w:tcPr>
            <w:tcW w:type="dxa" w:w="5184"/>
            <w:vAlign w:val="center"/>
          </w:tcPr>
          <w:p>
            <w:r>
              <w:rPr>
                <w:sz w:val="16"/>
              </w:rPr>
              <w:t>Stages ambiguity</w:t>
            </w:r>
          </w:p>
        </w:tc>
        <w:tc>
          <w:tcPr>
            <w:tcW w:type="dxa" w:w="5184"/>
            <w:vAlign w:val="center"/>
          </w:tcPr>
          <w:p>
            <w:r>
              <w:rPr>
                <w:sz w:val="16"/>
              </w:rPr>
              <w:t>Stage timeline says top 10 teams; Phase 1 description says top 5 shortlisted. Ask the organizer to confirm. Jury date/time is displayed as 30 Oct 2026, 1:51–1:52 PM IST, which appears anomalously short and should be verified.</w:t>
            </w:r>
          </w:p>
        </w:tc>
      </w:tr>
      <w:tr>
        <w:tc>
          <w:tcPr>
            <w:tcW w:type="dxa" w:w="5184"/>
            <w:vAlign w:val="center"/>
          </w:tcPr>
          <w:p>
            <w:r>
              <w:rPr>
                <w:sz w:val="16"/>
              </w:rPr>
              <w:t>Judging rubric</w:t>
            </w:r>
          </w:p>
        </w:tc>
        <w:tc>
          <w:tcPr>
            <w:tcW w:type="dxa" w:w="5184"/>
            <w:vAlign w:val="center"/>
          </w:tcPr>
          <w:p>
            <w:r>
              <w:rPr>
                <w:sz w:val="16"/>
              </w:rPr>
              <w:t>No official weighted scoring rubric is published in the accessible listing. Do not present an invented weighting as official.</w:t>
            </w:r>
          </w:p>
        </w:tc>
      </w:tr>
    </w:tbl>
    <w:p>
      <w:pPr>
        <w:pStyle w:val="Heading1"/>
      </w:pPr>
      <w:r>
        <w:t>2. Urgent submission reality</w:t>
      </w:r>
    </w:p>
    <w:p>
      <w:r>
        <w:t>As of 20 October 2026, the listing states that registration closed on 18 October and the prototype/code submission closes at 7:00 PM IST today. If the team did not register before the registration deadline, contact the organizer/portal immediately; do not assume a new entry can be created. If already registered, confirm the submission portal is open and submit only accessible files. The deadline is close enough that a large rewrite without a running model is risky. A slide deck and script alone do not satisfy the required working algorithmic model.</w:t>
      </w:r>
    </w:p>
    <w:p>
      <w:r>
        <w:t>The official page also contains a shortlist-count inconsistency (top 10 versus top 5). Safest plan: follow the phase timeline for jury readiness, but ask Happiest Health/Unstop for written clarification.</w:t>
      </w:r>
    </w:p>
    <w:p>
      <w:pPr>
        <w:pStyle w:val="Heading1"/>
      </w:pPr>
      <w:r>
        <w:t>3. Project choice: why GlucoTwin</w:t>
      </w:r>
    </w:p>
    <w:tbl>
      <w:tblPr>
        <w:tblStyle w:val="TableGrid"/>
        <w:tblW w:type="auto" w:w="0"/>
        <w:tblLook w:firstColumn="1" w:firstRow="1" w:lastColumn="0" w:lastRow="0" w:noHBand="0" w:noVBand="1" w:val="04A0"/>
      </w:tblPr>
      <w:tblGrid>
        <w:gridCol w:w="5184"/>
        <w:gridCol w:w="5184"/>
      </w:tblGrid>
      <w:tr>
        <w:tc>
          <w:tcPr>
            <w:tcW w:type="dxa" w:w="5184"/>
          </w:tcPr>
          <w:p>
            <w:r>
              <w:rPr>
                <w:sz w:val="17"/>
              </w:rPr>
              <w:t>Direction</w:t>
            </w:r>
          </w:p>
        </w:tc>
        <w:tc>
          <w:tcPr>
            <w:tcW w:type="dxa" w:w="5184"/>
          </w:tcPr>
          <w:p>
            <w:r>
              <w:rPr>
                <w:sz w:val="17"/>
              </w:rPr>
              <w:t>Assessment</w:t>
            </w:r>
          </w:p>
        </w:tc>
      </w:tr>
      <w:tr>
        <w:tc>
          <w:tcPr>
            <w:tcW w:type="dxa" w:w="5184"/>
          </w:tcPr>
          <w:p>
            <w:r>
              <w:rPr>
                <w:sz w:val="17"/>
              </w:rPr>
              <w:t>A. Adapt Matri-Kavach without changing its use case</w:t>
            </w:r>
          </w:p>
        </w:tc>
        <w:tc>
          <w:tcPr>
            <w:tcW w:type="dxa" w:w="5184"/>
          </w:tcPr>
          <w:p>
            <w:r>
              <w:rPr>
                <w:sz w:val="17"/>
              </w:rPr>
              <w:t>Low fit. Maternal referral coordination tracks operational handoffs, not a chronic-condition patient state updated by EHR + wearable signals. Reject for this challenge.</w:t>
            </w:r>
          </w:p>
        </w:tc>
      </w:tr>
      <w:tr>
        <w:tc>
          <w:tcPr>
            <w:tcW w:type="dxa" w:w="5184"/>
          </w:tcPr>
          <w:p>
            <w:r>
              <w:rPr>
                <w:sz w:val="17"/>
              </w:rPr>
              <w:t>B. Reuse modules but pivot clinical use case</w:t>
            </w:r>
          </w:p>
        </w:tc>
        <w:tc>
          <w:tcPr>
            <w:tcW w:type="dxa" w:w="5184"/>
          </w:tcPr>
          <w:p>
            <w:r>
              <w:rPr>
                <w:sz w:val="17"/>
              </w:rPr>
              <w:t>Best option. Reuse dashboard structure, role-aware presentation, audit logging, safety framing, state transitions and demo discipline. Build a new patient-specific glucose forecast.</w:t>
            </w:r>
          </w:p>
        </w:tc>
      </w:tr>
      <w:tr>
        <w:tc>
          <w:tcPr>
            <w:tcW w:type="dxa" w:w="5184"/>
          </w:tcPr>
          <w:p>
            <w:r>
              <w:rPr>
                <w:sz w:val="17"/>
              </w:rPr>
              <w:t>C. Start a completely different concept</w:t>
            </w:r>
          </w:p>
        </w:tc>
        <w:tc>
          <w:tcPr>
            <w:tcW w:type="dxa" w:w="5184"/>
          </w:tcPr>
          <w:p>
            <w:r>
              <w:rPr>
                <w:sz w:val="17"/>
              </w:rPr>
              <w:t>Possible but wastes existing product-design work. The available paired Type 2 diabetes clinical + CGM dataset makes GlucoTwin more feasible than starting with an unrelated condition.</w:t>
            </w:r>
          </w:p>
        </w:tc>
      </w:tr>
    </w:tbl>
    <w:p>
      <w:r>
        <w:t>Final direction: GlucoTwin — patient-specific short-horizon glucose-excursion forecasting. Intended user: clinician or diabetes-care team. Intended use: research and demonstration only. Prediction: whether a patient whose current CGM is at or below 180 mg/dL will have any of the next four 15-minute CGM readings above 180 mg/dL within 60 minutes. This threshold is a monitoring reference based on international CGM target-range consensus, not an emergency classification or diagnosis.</w:t>
      </w:r>
    </w:p>
    <w:p>
      <w:pPr>
        <w:pStyle w:val="Heading1"/>
      </w:pPr>
      <w:r>
        <w:t>4. Dataset research and selection</w:t>
      </w:r>
    </w:p>
    <w:p>
      <w:pPr>
        <w:pStyle w:val="Heading2"/>
      </w:pPr>
      <w:r>
        <w:t>Primary: ShanghaiT2DM</w:t>
      </w:r>
    </w:p>
    <w:p>
      <w:r>
        <w:t>Source paper: Zhao et al., “Chinese diabetes datasets for data-driven machine learning,” Scientific Data (2023): https://www.nature.com/articles/s41597-023-01940-7</w:t>
      </w:r>
    </w:p>
    <w:p>
      <w:r>
        <w:t>Data collection: https://figshare.com/collections/Diabetes_Datasets_ShanghaiT1DM_and_ShanghaiT2DM/6310860</w:t>
      </w:r>
    </w:p>
    <w:p>
      <w:pPr>
        <w:pStyle w:val="ListBullet"/>
      </w:pPr>
      <w:r>
        <w:t>100 patients with Type 2 diabetes; 109 recording files; 112,475 CGM measurements at 15-minute intervals; recordings typically 3–14 days.</w:t>
      </w:r>
    </w:p>
    <w:p>
      <w:pPr>
        <w:pStyle w:val="ListBullet"/>
      </w:pPr>
      <w:r>
        <w:t>Dynamic data: CGM readings, capillary blood glucose where recorded, dietary intake, insulin administration, and non-insulin glucose-lowering medication records.</w:t>
      </w:r>
    </w:p>
    <w:p>
      <w:pPr>
        <w:pStyle w:val="ListBullet"/>
      </w:pPr>
      <w:r>
        <w:t>Static/historical data: patient ID, age, sex, height, weight, BMI, smoking/drinking history, diabetes duration, complications, comorbidities, HbA1c, fasting and 2-hour postprandial glucose, C-peptide/insulin, lipids, renal measures and medication history.</w:t>
      </w:r>
    </w:p>
    <w:p>
      <w:pPr>
        <w:pStyle w:val="ListBullet"/>
      </w:pPr>
      <w:r>
        <w:t>License: Figshare record lists CC BY 4.0. Include the full dataset citation and attribution; do not silently relicense the dataset.</w:t>
      </w:r>
    </w:p>
    <w:p>
      <w:pPr>
        <w:pStyle w:val="ListBullet"/>
      </w:pPr>
      <w:r>
        <w:t>Strength: matched patient-level clinical descriptors and CGM data; directly aligned to the challenge’s two-stream requirement.</w:t>
      </w:r>
    </w:p>
    <w:p>
      <w:pPr>
        <w:pStyle w:val="ListBullet"/>
      </w:pPr>
      <w:r>
        <w:t>Limitations: Chinese hospital cohort, short recording periods, CGM sampled every 15 minutes, no claim of Indian representativeness, and patient count—not row count—is the effective independent sample size.</w:t>
      </w:r>
    </w:p>
    <w:p>
      <w:pPr>
        <w:pStyle w:val="Heading2"/>
      </w:pPr>
      <w:r>
        <w:t>Secondary / robustness option: CGMacros</w:t>
      </w:r>
    </w:p>
    <w:p>
      <w:r>
        <w:t>Paper: https://www.nature.com/articles/s41597-025-05851-7 • Dataset: https://physionet.org/content/cgmacros/1.0.0/</w:t>
      </w:r>
    </w:p>
    <w:p>
      <w:r>
        <w:t>The CGMacros paper reports 45 participants: 15 healthy, 16 with prediabetes, and 14 with Type 2 diabetes, followed for about ten days. It includes CGM, Fitbit heart rate/activity, meal macronutrients and baseline demographics/anthropometric/laboratory measurements. The cohort is rich in modalities but small, particularly for T2D. If used, evaluate it independently; do not join its IDs to ShanghaiT2DM or describe its cohort as Indian.</w:t>
      </w:r>
    </w:p>
    <w:p>
      <w:pPr>
        <w:pStyle w:val="Heading2"/>
      </w:pPr>
      <w:r>
        <w:t>Other dataset options reviewed</w:t>
      </w:r>
    </w:p>
    <w:tbl>
      <w:tblPr>
        <w:tblStyle w:val="TableGrid"/>
        <w:tblW w:type="auto" w:w="0"/>
        <w:tblLook w:firstColumn="1" w:firstRow="1" w:lastColumn="0" w:lastRow="0" w:noHBand="0" w:noVBand="1" w:val="04A0"/>
      </w:tblPr>
      <w:tblGrid>
        <w:gridCol w:w="5184"/>
        <w:gridCol w:w="5184"/>
      </w:tblGrid>
      <w:tr>
        <w:tc>
          <w:tcPr>
            <w:tcW w:type="dxa" w:w="5184"/>
          </w:tcPr>
          <w:p>
            <w:r>
              <w:rPr>
                <w:sz w:val="17"/>
              </w:rPr>
              <w:t>Option</w:t>
            </w:r>
          </w:p>
        </w:tc>
        <w:tc>
          <w:tcPr>
            <w:tcW w:type="dxa" w:w="5184"/>
          </w:tcPr>
          <w:p>
            <w:r>
              <w:rPr>
                <w:sz w:val="17"/>
              </w:rPr>
              <w:t>Fit / caution</w:t>
            </w:r>
          </w:p>
        </w:tc>
      </w:tr>
      <w:tr>
        <w:tc>
          <w:tcPr>
            <w:tcW w:type="dxa" w:w="5184"/>
          </w:tcPr>
          <w:p>
            <w:r>
              <w:rPr>
                <w:sz w:val="17"/>
              </w:rPr>
              <w:t>DiaTrend</w:t>
            </w:r>
          </w:p>
        </w:tc>
        <w:tc>
          <w:tcPr>
            <w:tcW w:type="dxa" w:w="5184"/>
          </w:tcPr>
          <w:p>
            <w:r>
              <w:rPr>
                <w:sz w:val="17"/>
              </w:rPr>
              <w:t>54 people with Type 1 diabetes; 27,561 CGM days and 8,220 insulin-pump days; age/sex/race/HbA1c; CGM roughly every 5 minutes. Access via Synapse with user certification and Conditions of Use. Strong longitudinal dataset, but Type 1 cohort and controlled access.</w:t>
            </w:r>
          </w:p>
        </w:tc>
      </w:tr>
      <w:tr>
        <w:tc>
          <w:tcPr>
            <w:tcW w:type="dxa" w:w="5184"/>
          </w:tcPr>
          <w:p>
            <w:r>
              <w:rPr>
                <w:sz w:val="17"/>
              </w:rPr>
              <w:t>Glucose-ML collection</w:t>
            </w:r>
          </w:p>
        </w:tc>
        <w:tc>
          <w:tcPr>
            <w:tcW w:type="dxa" w:w="5184"/>
          </w:tcPr>
          <w:p>
            <w:r>
              <w:rPr>
                <w:sz w:val="17"/>
              </w:rPr>
              <w:t>A curated collection with 20+ CGM datasets, 4,300+ people and diverse glycemic groups. Useful for dataset discovery and harmonization, but each constituent dataset has its own access and licence.</w:t>
            </w:r>
          </w:p>
        </w:tc>
      </w:tr>
      <w:tr>
        <w:tc>
          <w:tcPr>
            <w:tcW w:type="dxa" w:w="5184"/>
          </w:tcPr>
          <w:p>
            <w:r>
              <w:rPr>
                <w:sz w:val="17"/>
              </w:rPr>
              <w:t>Synthea</w:t>
            </w:r>
          </w:p>
        </w:tc>
        <w:tc>
          <w:tcPr>
            <w:tcW w:type="dxa" w:w="5184"/>
          </w:tcPr>
          <w:p>
            <w:r>
              <w:rPr>
                <w:sz w:val="17"/>
              </w:rPr>
              <w:t>Synthetic patient record generator; useful if a synthetic EHR fallback is needed. It does not by itself provide matched real CGM streams. If pairing synthetic EHR with a real sensor stream, label that linkage synthetic and do not claim clinical validity.</w:t>
            </w:r>
          </w:p>
        </w:tc>
      </w:tr>
      <w:tr>
        <w:tc>
          <w:tcPr>
            <w:tcW w:type="dxa" w:w="5184"/>
          </w:tcPr>
          <w:p>
            <w:r>
              <w:rPr>
                <w:sz w:val="17"/>
              </w:rPr>
              <w:t>MIMIC-IV</w:t>
            </w:r>
          </w:p>
        </w:tc>
        <w:tc>
          <w:tcPr>
            <w:tcW w:type="dxa" w:w="5184"/>
          </w:tcPr>
          <w:p>
            <w:r>
              <w:rPr>
                <w:sz w:val="17"/>
              </w:rPr>
              <w:t>Rich EHR and clinical data but controlled access requiring credentialing/training and a data-use agreement; not the fastest route for a same-day prototype.</w:t>
            </w:r>
          </w:p>
        </w:tc>
      </w:tr>
    </w:tbl>
    <w:p>
      <w:pPr>
        <w:pStyle w:val="Heading1"/>
      </w:pPr>
      <w:r>
        <w:t>5. Data dictionary and fusion specification</w:t>
      </w:r>
    </w:p>
    <w:tbl>
      <w:tblPr>
        <w:tblStyle w:val="TableGrid"/>
        <w:tblW w:type="auto" w:w="0"/>
        <w:tblLook w:firstColumn="1" w:firstRow="1" w:lastColumn="0" w:lastRow="0" w:noHBand="0" w:noVBand="1" w:val="04A0"/>
      </w:tblPr>
      <w:tblGrid>
        <w:gridCol w:w="3456"/>
        <w:gridCol w:w="3456"/>
        <w:gridCol w:w="3456"/>
      </w:tblGrid>
      <w:tr>
        <w:tc>
          <w:tcPr>
            <w:tcW w:type="dxa" w:w="3456"/>
          </w:tcPr>
          <w:p>
            <w:r>
              <w:rPr>
                <w:sz w:val="15"/>
              </w:rPr>
              <w:t>Field</w:t>
            </w:r>
          </w:p>
        </w:tc>
        <w:tc>
          <w:tcPr>
            <w:tcW w:type="dxa" w:w="3456"/>
          </w:tcPr>
          <w:p>
            <w:r>
              <w:rPr>
                <w:sz w:val="15"/>
              </w:rPr>
              <w:t>Source / definition</w:t>
            </w:r>
          </w:p>
        </w:tc>
        <w:tc>
          <w:tcPr>
            <w:tcW w:type="dxa" w:w="3456"/>
          </w:tcPr>
          <w:p>
            <w:r>
              <w:rPr>
                <w:sz w:val="15"/>
              </w:rPr>
              <w:t>Usage / safety note</w:t>
            </w:r>
          </w:p>
        </w:tc>
      </w:tr>
      <w:tr>
        <w:tc>
          <w:tcPr>
            <w:tcW w:type="dxa" w:w="3456"/>
          </w:tcPr>
          <w:p>
            <w:r>
              <w:rPr>
                <w:sz w:val="15"/>
              </w:rPr>
              <w:t>patient_id</w:t>
            </w:r>
          </w:p>
        </w:tc>
        <w:tc>
          <w:tcPr>
            <w:tcW w:type="dxa" w:w="3456"/>
          </w:tcPr>
          <w:p>
            <w:r>
              <w:rPr>
                <w:sz w:val="15"/>
              </w:rPr>
              <w:t>Dataset’s pseudonymous patient ID</w:t>
            </w:r>
          </w:p>
        </w:tc>
        <w:tc>
          <w:tcPr>
            <w:tcW w:type="dxa" w:w="3456"/>
          </w:tcPr>
          <w:p>
            <w:r>
              <w:rPr>
                <w:sz w:val="15"/>
              </w:rPr>
              <w:t>Key for joining static profile to that same patient’s CGM and events.</w:t>
            </w:r>
          </w:p>
        </w:tc>
      </w:tr>
      <w:tr>
        <w:tc>
          <w:tcPr>
            <w:tcW w:type="dxa" w:w="3456"/>
          </w:tcPr>
          <w:p>
            <w:r>
              <w:rPr>
                <w:sz w:val="15"/>
              </w:rPr>
              <w:t>timestamp</w:t>
            </w:r>
          </w:p>
        </w:tc>
        <w:tc>
          <w:tcPr>
            <w:tcW w:type="dxa" w:w="3456"/>
          </w:tcPr>
          <w:p>
            <w:r>
              <w:rPr>
                <w:sz w:val="15"/>
              </w:rPr>
              <w:t>CGM / meal / medication timestamp</w:t>
            </w:r>
          </w:p>
        </w:tc>
        <w:tc>
          <w:tcPr>
            <w:tcW w:type="dxa" w:w="3456"/>
          </w:tcPr>
          <w:p>
            <w:r>
              <w:rPr>
                <w:sz w:val="15"/>
              </w:rPr>
              <w:t>Sort in time; standardize representation; do not infer missing events.</w:t>
            </w:r>
          </w:p>
        </w:tc>
      </w:tr>
      <w:tr>
        <w:tc>
          <w:tcPr>
            <w:tcW w:type="dxa" w:w="3456"/>
          </w:tcPr>
          <w:p>
            <w:r>
              <w:rPr>
                <w:sz w:val="15"/>
              </w:rPr>
              <w:t>cgm_mg_dl</w:t>
            </w:r>
          </w:p>
        </w:tc>
        <w:tc>
          <w:tcPr>
            <w:tcW w:type="dxa" w:w="3456"/>
          </w:tcPr>
          <w:p>
            <w:r>
              <w:rPr>
                <w:sz w:val="15"/>
              </w:rPr>
              <w:t>CGM measurement every 15 minutes</w:t>
            </w:r>
          </w:p>
        </w:tc>
        <w:tc>
          <w:tcPr>
            <w:tcW w:type="dxa" w:w="3456"/>
          </w:tcPr>
          <w:p>
            <w:r>
              <w:rPr>
                <w:sz w:val="15"/>
              </w:rPr>
              <w:t>Use past-only windows; preserve native sampling interval.</w:t>
            </w:r>
          </w:p>
        </w:tc>
      </w:tr>
      <w:tr>
        <w:tc>
          <w:tcPr>
            <w:tcW w:type="dxa" w:w="3456"/>
          </w:tcPr>
          <w:p>
            <w:r>
              <w:rPr>
                <w:sz w:val="15"/>
              </w:rPr>
              <w:t>age, sex, height, weight, BMI</w:t>
            </w:r>
          </w:p>
        </w:tc>
        <w:tc>
          <w:tcPr>
            <w:tcW w:type="dxa" w:w="3456"/>
          </w:tcPr>
          <w:p>
            <w:r>
              <w:rPr>
                <w:sz w:val="15"/>
              </w:rPr>
              <w:t>Baseline clinical profile</w:t>
            </w:r>
          </w:p>
        </w:tc>
        <w:tc>
          <w:tcPr>
            <w:tcW w:type="dxa" w:w="3456"/>
          </w:tcPr>
          <w:p>
            <w:r>
              <w:rPr>
                <w:sz w:val="15"/>
              </w:rPr>
              <w:t>Static features; fit imputation/encoding on training patients only.</w:t>
            </w:r>
          </w:p>
        </w:tc>
      </w:tr>
      <w:tr>
        <w:tc>
          <w:tcPr>
            <w:tcW w:type="dxa" w:w="3456"/>
          </w:tcPr>
          <w:p>
            <w:r>
              <w:rPr>
                <w:sz w:val="15"/>
              </w:rPr>
              <w:t>diabetes_duration, comorbidities, complications</w:t>
            </w:r>
          </w:p>
        </w:tc>
        <w:tc>
          <w:tcPr>
            <w:tcW w:type="dxa" w:w="3456"/>
          </w:tcPr>
          <w:p>
            <w:r>
              <w:rPr>
                <w:sz w:val="15"/>
              </w:rPr>
              <w:t>Clinical summary</w:t>
            </w:r>
          </w:p>
        </w:tc>
        <w:tc>
          <w:tcPr>
            <w:tcW w:type="dxa" w:w="3456"/>
          </w:tcPr>
          <w:p>
            <w:r>
              <w:rPr>
                <w:sz w:val="15"/>
              </w:rPr>
              <w:t>Use only fields actually present; document missingness.</w:t>
            </w:r>
          </w:p>
        </w:tc>
      </w:tr>
      <w:tr>
        <w:tc>
          <w:tcPr>
            <w:tcW w:type="dxa" w:w="3456"/>
          </w:tcPr>
          <w:p>
            <w:r>
              <w:rPr>
                <w:sz w:val="15"/>
              </w:rPr>
              <w:t>HbA1c, fasting glucose, 2-hour postprandial glucose, lipids, renal labs</w:t>
            </w:r>
          </w:p>
        </w:tc>
        <w:tc>
          <w:tcPr>
            <w:tcW w:type="dxa" w:w="3456"/>
          </w:tcPr>
          <w:p>
            <w:r>
              <w:rPr>
                <w:sz w:val="15"/>
              </w:rPr>
              <w:t>Historical labs</w:t>
            </w:r>
          </w:p>
        </w:tc>
        <w:tc>
          <w:tcPr>
            <w:tcW w:type="dxa" w:w="3456"/>
          </w:tcPr>
          <w:p>
            <w:r>
              <w:rPr>
                <w:sz w:val="15"/>
              </w:rPr>
              <w:t>Only values known before prediction time; no leakage from later visits.</w:t>
            </w:r>
          </w:p>
        </w:tc>
      </w:tr>
      <w:tr>
        <w:tc>
          <w:tcPr>
            <w:tcW w:type="dxa" w:w="3456"/>
          </w:tcPr>
          <w:p>
            <w:r>
              <w:rPr>
                <w:sz w:val="15"/>
              </w:rPr>
              <w:t>medication_history / medication events</w:t>
            </w:r>
          </w:p>
        </w:tc>
        <w:tc>
          <w:tcPr>
            <w:tcW w:type="dxa" w:w="3456"/>
          </w:tcPr>
          <w:p>
            <w:r>
              <w:rPr>
                <w:sz w:val="15"/>
              </w:rPr>
              <w:t>Clinical summary and timestamped entries</w:t>
            </w:r>
          </w:p>
        </w:tc>
        <w:tc>
          <w:tcPr>
            <w:tcW w:type="dxa" w:w="3456"/>
          </w:tcPr>
          <w:p>
            <w:r>
              <w:rPr>
                <w:sz w:val="15"/>
              </w:rPr>
              <w:t>Use events available before time t; do not infer adherence.</w:t>
            </w:r>
          </w:p>
        </w:tc>
      </w:tr>
      <w:tr>
        <w:tc>
          <w:tcPr>
            <w:tcW w:type="dxa" w:w="3456"/>
          </w:tcPr>
          <w:p>
            <w:r>
              <w:rPr>
                <w:sz w:val="15"/>
              </w:rPr>
              <w:t>dietary_intake / meal time</w:t>
            </w:r>
          </w:p>
        </w:tc>
        <w:tc>
          <w:tcPr>
            <w:tcW w:type="dxa" w:w="3456"/>
          </w:tcPr>
          <w:p>
            <w:r>
              <w:rPr>
                <w:sz w:val="15"/>
              </w:rPr>
              <w:t>Self-reported / recorded event</w:t>
            </w:r>
          </w:p>
        </w:tc>
        <w:tc>
          <w:tcPr>
            <w:tcW w:type="dxa" w:w="3456"/>
          </w:tcPr>
          <w:p>
            <w:r>
              <w:rPr>
                <w:sz w:val="15"/>
              </w:rPr>
              <w:t>Use only records logged before t; missing log does not imply no meal.</w:t>
            </w:r>
          </w:p>
        </w:tc>
      </w:tr>
      <w:tr>
        <w:tc>
          <w:tcPr>
            <w:tcW w:type="dxa" w:w="3456"/>
          </w:tcPr>
          <w:p>
            <w:r>
              <w:rPr>
                <w:sz w:val="15"/>
              </w:rPr>
              <w:t>derived features</w:t>
            </w:r>
          </w:p>
        </w:tc>
        <w:tc>
          <w:tcPr>
            <w:tcW w:type="dxa" w:w="3456"/>
          </w:tcPr>
          <w:p>
            <w:r>
              <w:rPr>
                <w:sz w:val="15"/>
              </w:rPr>
              <w:t>4-hour window (16 CGM points), slope, rolling mean/SD, last value, time since recorded meal/medication</w:t>
            </w:r>
          </w:p>
        </w:tc>
        <w:tc>
          <w:tcPr>
            <w:tcW w:type="dxa" w:w="3456"/>
          </w:tcPr>
          <w:p>
            <w:r>
              <w:rPr>
                <w:sz w:val="15"/>
              </w:rPr>
              <w:t>All features computed only from history available at t.</w:t>
            </w:r>
          </w:p>
        </w:tc>
      </w:tr>
      <w:tr>
        <w:tc>
          <w:tcPr>
            <w:tcW w:type="dxa" w:w="3456"/>
          </w:tcPr>
          <w:p>
            <w:r>
              <w:rPr>
                <w:sz w:val="15"/>
              </w:rPr>
              <w:t>label</w:t>
            </w:r>
          </w:p>
        </w:tc>
        <w:tc>
          <w:tcPr>
            <w:tcW w:type="dxa" w:w="3456"/>
          </w:tcPr>
          <w:p>
            <w:r>
              <w:rPr>
                <w:sz w:val="15"/>
              </w:rPr>
              <w:t>Current CGM ≤180 and any of next four readings &gt;180 mg/dL</w:t>
            </w:r>
          </w:p>
        </w:tc>
        <w:tc>
          <w:tcPr>
            <w:tcW w:type="dxa" w:w="3456"/>
          </w:tcPr>
          <w:p>
            <w:r>
              <w:rPr>
                <w:sz w:val="15"/>
              </w:rPr>
              <w:t>New above-range excursion within 60 minutes; define exclusions and prevalence before model training.</w:t>
            </w:r>
          </w:p>
        </w:tc>
      </w:tr>
    </w:tbl>
    <w:p>
      <w:pPr>
        <w:pStyle w:val="Heading1"/>
      </w:pPr>
      <w:r>
        <w:t>6. Modeling and evaluation plan</w:t>
      </w:r>
    </w:p>
    <w:p>
      <w:pPr>
        <w:pStyle w:val="ListBullet"/>
      </w:pPr>
      <w:r>
        <w:t>Input window: four hours of history (16 CGM points at 15-minute sampling) plus baseline clinical features and timestamped meal/medication events known before t.</w:t>
      </w:r>
    </w:p>
    <w:p>
      <w:pPr>
        <w:pStyle w:val="ListBullet"/>
      </w:pPr>
      <w:r>
        <w:t>Target: among windows with current CGM ≤180 mg/dL, predict any of the next four CGM readings &gt;180 mg/dL. Handle already-high glucose as an observed state or a separate persistence analysis, not as a new onset.</w:t>
      </w:r>
    </w:p>
    <w:p>
      <w:pPr>
        <w:pStyle w:val="ListBullet"/>
      </w:pPr>
      <w:r>
        <w:t>Baselines: (1) transparent current-state/persistence rule; (2) logistic regression; (3) simple CGM-trend model. Candidate: XGBoost classifier. Use deep learning only if data and time justify it.</w:t>
      </w:r>
    </w:p>
    <w:p>
      <w:pPr>
        <w:pStyle w:val="ListBullet"/>
      </w:pPr>
      <w:r>
        <w:t>Split: split by patient ID before creating train/validation/test windows, e.g. 70/15/15 patients. All recording periods for one patient remain in one split. Keep a fixed split manifest.</w:t>
      </w:r>
    </w:p>
    <w:p>
      <w:pPr>
        <w:pStyle w:val="ListBullet"/>
      </w:pPr>
      <w:r>
        <w:t>Leakage controls: no future CGM or future event logs in features; no patient overlap between splits; fit imputation/scaling/feature selection only on training data; select thresholds on validation only.</w:t>
      </w:r>
    </w:p>
    <w:p>
      <w:pPr>
        <w:pStyle w:val="ListBullet"/>
      </w:pPr>
      <w:r>
        <w:t>Metrics: AUROC, AUPRC, sensitivity/specificity, precision/recall, Brier score/calibration, false alerts per patient-day, and available lead time. Report per-patient results and uncertainty; avoid reporting accuracy alone.</w:t>
      </w:r>
    </w:p>
    <w:p>
      <w:pPr>
        <w:pStyle w:val="ListBullet"/>
      </w:pPr>
      <w:r>
        <w:t>Ablations: clinical/static only, CGM only, fused, fused without meal/medication events, and no patient-specific context. If fusion does not improve held-out performance, say so.</w:t>
      </w:r>
    </w:p>
    <w:p>
      <w:pPr>
        <w:pStyle w:val="ListBullet"/>
      </w:pPr>
      <w:r>
        <w:t>Robustness: missing-data stress tests, stale-input abstention, patient subgroup checks where sample size allows, and independent exploratory evaluation on CGMacros only if its variables and labels align.</w:t>
      </w:r>
    </w:p>
    <w:p>
      <w:pPr>
        <w:pStyle w:val="ListBullet"/>
      </w:pPr>
      <w:r>
        <w:t>Result status: no results can be claimed from the supplied files. Fill in the results table only after code has run and can be reproduced.</w:t>
      </w:r>
    </w:p>
    <w:p>
      <w:pPr>
        <w:pStyle w:val="Heading1"/>
      </w:pPr>
      <w:r>
        <w:t>7. Architecture, API and repository blueprint</w:t>
      </w:r>
    </w:p>
    <w:p>
      <w:r>
        <w:t>Suggested minimum stack: Python, pandas, scikit-learn, XGBoost, Streamlit, SQLite, pytest. Keep the first build CSV-driven; do not overbuild integrations.</w:t>
      </w:r>
    </w:p>
    <w:p>
      <w:pPr>
        <w:pStyle w:val="ListBullet"/>
      </w:pPr>
      <w:r>
        <w:t>Ingestion: load the dataset’s patient summary, CGM files and event records.</w:t>
      </w:r>
    </w:p>
    <w:p>
      <w:pPr>
        <w:pStyle w:val="ListBullet"/>
      </w:pPr>
      <w:r>
        <w:t>Validation: schema/units/ranges/timestamps, duplicate detection, missingness report.</w:t>
      </w:r>
    </w:p>
    <w:p>
      <w:pPr>
        <w:pStyle w:val="ListBullet"/>
      </w:pPr>
      <w:r>
        <w:t>State builder: patient ID + baseline profile + rolling 4-hour CGM window + recent events.</w:t>
      </w:r>
    </w:p>
    <w:p>
      <w:pPr>
        <w:pStyle w:val="ListBullet"/>
      </w:pPr>
      <w:r>
        <w:t>Inference: baseline model and candidate model; calibrated output or explicit abstention.</w:t>
      </w:r>
    </w:p>
    <w:p>
      <w:pPr>
        <w:pStyle w:val="ListBullet"/>
      </w:pPr>
      <w:r>
        <w:t>UI: synthetic patient selector, baseline profile, CGM trend, 60-minute forecast, input freshness, explanation, previous predictions and clinician review.</w:t>
      </w:r>
    </w:p>
    <w:p>
      <w:pPr>
        <w:pStyle w:val="ListBullet"/>
      </w:pPr>
      <w:r>
        <w:t>Audit: timestamp, patient pseudonym, input-window version, model version, output, warnings and user review.</w:t>
      </w:r>
    </w:p>
    <w:p>
      <w:pPr>
        <w:pStyle w:val="ListBullet"/>
      </w:pPr>
      <w:r>
        <w:t>Repository: README.md; LICENSE; CITATION.md; data/README.md; src/data_loader.py; src/features.py; src/train.py; src/evaluate.py; src/app.py; tests/; docs/architecture.pdf; docs/presentation.pptx; docs/video_link.txt.</w:t>
      </w:r>
    </w:p>
    <w:p>
      <w:pPr>
        <w:pStyle w:val="ListBullet"/>
      </w:pPr>
      <w:r>
        <w:t>README: team details and college/incubator, project title, problem statement/use case, technical stack/model, public dataset links and licences, architecture, how to install/run, evaluation split/metrics, known limitations, video link, contact/help and reproduction commands.</w:t>
      </w:r>
    </w:p>
    <w:p>
      <w:pPr>
        <w:pStyle w:val="ListBullet"/>
      </w:pPr>
      <w:r>
        <w:t>Do not upload secrets, personal phone numbers, API keys, raw patient identifiers, or credentials. The submission platform asks the team leader to enter their contact information separately.</w:t>
      </w:r>
    </w:p>
    <w:p>
      <w:pPr>
        <w:pStyle w:val="Heading1"/>
      </w:pPr>
      <w:r>
        <w:t>8. Original Matri-Kavach slide audit</w:t>
      </w:r>
    </w:p>
    <w:tbl>
      <w:tblPr>
        <w:tblStyle w:val="TableGrid"/>
        <w:tblW w:type="auto" w:w="0"/>
        <w:tblLook w:firstColumn="1" w:firstRow="1" w:lastColumn="0" w:lastRow="0" w:noHBand="0" w:noVBand="1" w:val="04A0"/>
      </w:tblPr>
      <w:tblGrid>
        <w:gridCol w:w="3456"/>
        <w:gridCol w:w="3456"/>
        <w:gridCol w:w="3456"/>
      </w:tblGrid>
      <w:tr>
        <w:tc>
          <w:tcPr>
            <w:tcW w:type="dxa" w:w="3456"/>
          </w:tcPr>
          <w:p>
            <w:r>
              <w:rPr>
                <w:sz w:val="15"/>
              </w:rPr>
              <w:t>Original slide</w:t>
            </w:r>
          </w:p>
        </w:tc>
        <w:tc>
          <w:tcPr>
            <w:tcW w:type="dxa" w:w="3456"/>
          </w:tcPr>
          <w:p>
            <w:r>
              <w:rPr>
                <w:sz w:val="15"/>
              </w:rPr>
              <w:t>Issue / what it communicates</w:t>
            </w:r>
          </w:p>
        </w:tc>
        <w:tc>
          <w:tcPr>
            <w:tcW w:type="dxa" w:w="3456"/>
          </w:tcPr>
          <w:p>
            <w:r>
              <w:rPr>
                <w:sz w:val="15"/>
              </w:rPr>
              <w:t>Recommended change</w:t>
            </w:r>
          </w:p>
        </w:tc>
      </w:tr>
      <w:tr>
        <w:tc>
          <w:tcPr>
            <w:tcW w:type="dxa" w:w="3456"/>
          </w:tcPr>
          <w:p>
            <w:r>
              <w:rPr>
                <w:sz w:val="15"/>
              </w:rPr>
              <w:t>1 — Hero</w:t>
            </w:r>
          </w:p>
        </w:tc>
        <w:tc>
          <w:tcPr>
            <w:tcW w:type="dxa" w:w="3456"/>
          </w:tcPr>
          <w:p>
            <w:r>
              <w:rPr>
                <w:sz w:val="15"/>
              </w:rPr>
              <w:t>Strong brand and memorable visual, but the “1 in 3 / 1,000+ deaths” claim is not supported by the cited review per the supplied blueprint. Maternal referral use case does not fit this challenge.</w:t>
            </w:r>
          </w:p>
        </w:tc>
        <w:tc>
          <w:tcPr>
            <w:tcW w:type="dxa" w:w="3456"/>
          </w:tcPr>
          <w:p>
            <w:r>
              <w:rPr>
                <w:sz w:val="15"/>
              </w:rPr>
              <w:t>Do not rebrand this slide as a twin. Rebuild as GlucoTwin cover; define target, horizon, and cohort. Remove unsupported mortality claim.</w:t>
            </w:r>
          </w:p>
        </w:tc>
      </w:tr>
      <w:tr>
        <w:tc>
          <w:tcPr>
            <w:tcW w:type="dxa" w:w="3456"/>
          </w:tcPr>
          <w:p>
            <w:r>
              <w:rPr>
                <w:sz w:val="15"/>
              </w:rPr>
              <w:t>2 — Problem</w:t>
            </w:r>
          </w:p>
        </w:tc>
        <w:tc>
          <w:tcPr>
            <w:tcW w:type="dxa" w:w="3456"/>
          </w:tcPr>
          <w:p>
            <w:r>
              <w:rPr>
                <w:sz w:val="15"/>
              </w:rPr>
              <w:t>Clear human story and referral pathway, but not the required chronic-condition forecast.</w:t>
            </w:r>
          </w:p>
        </w:tc>
        <w:tc>
          <w:tcPr>
            <w:tcW w:type="dxa" w:w="3456"/>
          </w:tcPr>
          <w:p>
            <w:r>
              <w:rPr>
                <w:sz w:val="15"/>
              </w:rPr>
              <w:t>Reuse problem-story structure: static record is incomplete without the evolving CGM trajectory.</w:t>
            </w:r>
          </w:p>
        </w:tc>
      </w:tr>
      <w:tr>
        <w:tc>
          <w:tcPr>
            <w:tcW w:type="dxa" w:w="3456"/>
          </w:tcPr>
          <w:p>
            <w:r>
              <w:rPr>
                <w:sz w:val="15"/>
              </w:rPr>
              <w:t>3 — Solution</w:t>
            </w:r>
          </w:p>
        </w:tc>
        <w:tc>
          <w:tcPr>
            <w:tcW w:type="dxa" w:w="3456"/>
          </w:tcPr>
          <w:p>
            <w:r>
              <w:rPr>
                <w:sz w:val="15"/>
              </w:rPr>
              <w:t>Strong before/after narrative, but it is a referral coordination promise, not patient-state prediction.</w:t>
            </w:r>
          </w:p>
        </w:tc>
        <w:tc>
          <w:tcPr>
            <w:tcW w:type="dxa" w:w="3456"/>
          </w:tcPr>
          <w:p>
            <w:r>
              <w:rPr>
                <w:sz w:val="15"/>
              </w:rPr>
              <w:t>Replace with a specific future event and an update loop. No invented prediction score.</w:t>
            </w:r>
          </w:p>
        </w:tc>
      </w:tr>
      <w:tr>
        <w:tc>
          <w:tcPr>
            <w:tcW w:type="dxa" w:w="3456"/>
          </w:tcPr>
          <w:p>
            <w:r>
              <w:rPr>
                <w:sz w:val="15"/>
              </w:rPr>
              <w:t>4 — Seven steps</w:t>
            </w:r>
          </w:p>
        </w:tc>
        <w:tc>
          <w:tcPr>
            <w:tcW w:type="dxa" w:w="3456"/>
          </w:tcPr>
          <w:p>
            <w:r>
              <w:rPr>
                <w:sz w:val="15"/>
              </w:rPr>
              <w:t>Shows workflow states and escalation logic.</w:t>
            </w:r>
          </w:p>
        </w:tc>
        <w:tc>
          <w:tcPr>
            <w:tcW w:type="dxa" w:w="3456"/>
          </w:tcPr>
          <w:p>
            <w:r>
              <w:rPr>
                <w:sz w:val="15"/>
              </w:rPr>
              <w:t>Reuse state-machine discipline: ingest → validate → update state → predict → review → new sample.</w:t>
            </w:r>
          </w:p>
        </w:tc>
      </w:tr>
      <w:tr>
        <w:tc>
          <w:tcPr>
            <w:tcW w:type="dxa" w:w="3456"/>
          </w:tcPr>
          <w:p>
            <w:r>
              <w:rPr>
                <w:sz w:val="15"/>
              </w:rPr>
              <w:t>5 — Product screens</w:t>
            </w:r>
          </w:p>
        </w:tc>
        <w:tc>
          <w:tcPr>
            <w:tcW w:type="dxa" w:w="3456"/>
          </w:tcPr>
          <w:p>
            <w:r>
              <w:rPr>
                <w:sz w:val="15"/>
              </w:rPr>
              <w:t>Best reusable asset: clear multi-role interface and dashboard composition. Contains synthetic/demo details and maternal identifiers.</w:t>
            </w:r>
          </w:p>
        </w:tc>
        <w:tc>
          <w:tcPr>
            <w:tcW w:type="dxa" w:w="3456"/>
          </w:tcPr>
          <w:p>
            <w:r>
              <w:rPr>
                <w:sz w:val="15"/>
              </w:rPr>
              <w:t>Rebuild a clinician dashboard with synthetic patient ID, CGM trace, forecast horizon, uncertainty, freshness, explanation and prediction history.</w:t>
            </w:r>
          </w:p>
        </w:tc>
      </w:tr>
      <w:tr>
        <w:tc>
          <w:tcPr>
            <w:tcW w:type="dxa" w:w="3456"/>
          </w:tcPr>
          <w:p>
            <w:r>
              <w:rPr>
                <w:sz w:val="15"/>
              </w:rPr>
              <w:t>6 — Competitors</w:t>
            </w:r>
          </w:p>
        </w:tc>
        <w:tc>
          <w:tcPr>
            <w:tcW w:type="dxa" w:w="3456"/>
          </w:tcPr>
          <w:p>
            <w:r>
              <w:rPr>
                <w:sz w:val="15"/>
              </w:rPr>
              <w:t>Oversimplified claim that competitors solve only pieces; blueprint calls for a more careful comparison.</w:t>
            </w:r>
          </w:p>
        </w:tc>
        <w:tc>
          <w:tcPr>
            <w:tcW w:type="dxa" w:w="3456"/>
          </w:tcPr>
          <w:p>
            <w:r>
              <w:rPr>
                <w:sz w:val="15"/>
              </w:rPr>
              <w:t>Use prior art: ShanghaiT2DM, CGMacros, DiaTrend, published CGM forecasting, UVA/Padova. Do not claim world-first.</w:t>
            </w:r>
          </w:p>
        </w:tc>
      </w:tr>
      <w:tr>
        <w:tc>
          <w:tcPr>
            <w:tcW w:type="dxa" w:w="3456"/>
          </w:tcPr>
          <w:p>
            <w:r>
              <w:rPr>
                <w:sz w:val="15"/>
              </w:rPr>
              <w:t>7 — Technology</w:t>
            </w:r>
          </w:p>
        </w:tc>
        <w:tc>
          <w:tcPr>
            <w:tcW w:type="dxa" w:w="3456"/>
          </w:tcPr>
          <w:p>
            <w:r>
              <w:rPr>
                <w:sz w:val="15"/>
              </w:rPr>
              <w:t>Lists plausible technologies but claims APIs/integrations and “ABDM-ready” without implementation evidence.</w:t>
            </w:r>
          </w:p>
        </w:tc>
        <w:tc>
          <w:tcPr>
            <w:tcW w:type="dxa" w:w="3456"/>
          </w:tcPr>
          <w:p>
            <w:r>
              <w:rPr>
                <w:sz w:val="15"/>
              </w:rPr>
              <w:t>Use only a minimal verified stack. CSV loader + feature pipeline + model + dashboard first. Label future integrations as future.</w:t>
            </w:r>
          </w:p>
        </w:tc>
      </w:tr>
      <w:tr>
        <w:tc>
          <w:tcPr>
            <w:tcW w:type="dxa" w:w="3456"/>
          </w:tcPr>
          <w:p>
            <w:r>
              <w:rPr>
                <w:sz w:val="15"/>
              </w:rPr>
              <w:t>8 — Safety/KPIs</w:t>
            </w:r>
          </w:p>
        </w:tc>
        <w:tc>
          <w:tcPr>
            <w:tcW w:type="dxa" w:w="3456"/>
          </w:tcPr>
          <w:p>
            <w:r>
              <w:rPr>
                <w:sz w:val="15"/>
              </w:rPr>
              <w:t>Strong assistive/safety orientation, but the metrics are referral closure and the pilot is maternal workflow-specific.</w:t>
            </w:r>
          </w:p>
        </w:tc>
        <w:tc>
          <w:tcPr>
            <w:tcW w:type="dxa" w:w="3456"/>
          </w:tcPr>
          <w:p>
            <w:r>
              <w:rPr>
                <w:sz w:val="15"/>
              </w:rPr>
              <w:t>Replace with leakage-safe model metrics, fusion ablations, missing-data handling, model uncertainty, and validation boundaries.</w:t>
            </w:r>
          </w:p>
        </w:tc>
      </w:tr>
    </w:tbl>
    <w:p>
      <w:pPr>
        <w:pStyle w:val="Heading1"/>
      </w:pPr>
      <w:r>
        <w:t>9. Requirement compliance matrix</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rPr>
                <w:sz w:val="13"/>
              </w:rPr>
              <w:t>Requirement</w:t>
            </w:r>
          </w:p>
        </w:tc>
        <w:tc>
          <w:tcPr>
            <w:tcW w:type="dxa" w:w="1728"/>
          </w:tcPr>
          <w:p>
            <w:r>
              <w:rPr>
                <w:sz w:val="13"/>
              </w:rPr>
              <w:t>Evidence</w:t>
            </w:r>
          </w:p>
        </w:tc>
        <w:tc>
          <w:tcPr>
            <w:tcW w:type="dxa" w:w="1728"/>
          </w:tcPr>
          <w:p>
            <w:r>
              <w:rPr>
                <w:sz w:val="13"/>
              </w:rPr>
              <w:t>Current status</w:t>
            </w:r>
          </w:p>
        </w:tc>
        <w:tc>
          <w:tcPr>
            <w:tcW w:type="dxa" w:w="1728"/>
          </w:tcPr>
          <w:p>
            <w:r>
              <w:rPr>
                <w:sz w:val="13"/>
              </w:rPr>
              <w:t>Action</w:t>
            </w:r>
          </w:p>
        </w:tc>
        <w:tc>
          <w:tcPr>
            <w:tcW w:type="dxa" w:w="1728"/>
          </w:tcPr>
          <w:p>
            <w:r>
              <w:rPr>
                <w:sz w:val="13"/>
              </w:rPr>
              <w:t>Priority</w:t>
            </w:r>
          </w:p>
        </w:tc>
        <w:tc>
          <w:tcPr>
            <w:tcW w:type="dxa" w:w="1728"/>
          </w:tcPr>
          <w:p>
            <w:r>
              <w:rPr>
                <w:sz w:val="13"/>
              </w:rPr>
              <w:t>Proof</w:t>
            </w:r>
          </w:p>
        </w:tc>
      </w:tr>
      <w:tr>
        <w:tc>
          <w:tcPr>
            <w:tcW w:type="dxa" w:w="1728"/>
          </w:tcPr>
          <w:p>
            <w:r>
              <w:rPr>
                <w:sz w:val="13"/>
              </w:rPr>
              <w:t>Eligible registered team; 1–4 full-time students</w:t>
            </w:r>
          </w:p>
        </w:tc>
        <w:tc>
          <w:tcPr>
            <w:tcW w:type="dxa" w:w="1728"/>
          </w:tcPr>
          <w:p>
            <w:r>
              <w:rPr>
                <w:sz w:val="13"/>
              </w:rPr>
              <w:t>Official listing</w:t>
            </w:r>
          </w:p>
        </w:tc>
        <w:tc>
          <w:tcPr>
            <w:tcW w:type="dxa" w:w="1728"/>
          </w:tcPr>
          <w:p>
            <w:r>
              <w:rPr>
                <w:sz w:val="13"/>
              </w:rPr>
              <w:t>Unknown from uploaded materials</w:t>
            </w:r>
          </w:p>
        </w:tc>
        <w:tc>
          <w:tcPr>
            <w:tcW w:type="dxa" w:w="1728"/>
          </w:tcPr>
          <w:p>
            <w:r>
              <w:rPr>
                <w:sz w:val="13"/>
              </w:rPr>
              <w:t>Confirm registration and team member status; team changes not allowed</w:t>
            </w:r>
          </w:p>
        </w:tc>
        <w:tc>
          <w:tcPr>
            <w:tcW w:type="dxa" w:w="1728"/>
          </w:tcPr>
          <w:p>
            <w:r>
              <w:rPr>
                <w:sz w:val="13"/>
              </w:rPr>
              <w:t>P0</w:t>
            </w:r>
          </w:p>
        </w:tc>
        <w:tc>
          <w:tcPr>
            <w:tcW w:type="dxa" w:w="1728"/>
          </w:tcPr>
          <w:p>
            <w:r>
              <w:rPr>
                <w:sz w:val="13"/>
              </w:rPr>
              <w:t>Portal/team details match; no team mismatch</w:t>
            </w:r>
          </w:p>
        </w:tc>
      </w:tr>
      <w:tr>
        <w:tc>
          <w:tcPr>
            <w:tcW w:type="dxa" w:w="1728"/>
          </w:tcPr>
          <w:p>
            <w:r>
              <w:rPr>
                <w:sz w:val="13"/>
              </w:rPr>
              <w:t>Specific chronic/lifestyle condition</w:t>
            </w:r>
          </w:p>
        </w:tc>
        <w:tc>
          <w:tcPr>
            <w:tcW w:type="dxa" w:w="1728"/>
          </w:tcPr>
          <w:p>
            <w:r>
              <w:rPr>
                <w:sz w:val="13"/>
              </w:rPr>
              <w:t>Official listing</w:t>
            </w:r>
          </w:p>
        </w:tc>
        <w:tc>
          <w:tcPr>
            <w:tcW w:type="dxa" w:w="1728"/>
          </w:tcPr>
          <w:p>
            <w:r>
              <w:rPr>
                <w:sz w:val="13"/>
              </w:rPr>
              <w:t>Designed: Type 2 diabetes</w:t>
            </w:r>
          </w:p>
        </w:tc>
        <w:tc>
          <w:tcPr>
            <w:tcW w:type="dxa" w:w="1728"/>
          </w:tcPr>
          <w:p>
            <w:r>
              <w:rPr>
                <w:sz w:val="13"/>
              </w:rPr>
              <w:t>Keep target focused on 60-minute glucose excursion</w:t>
            </w:r>
          </w:p>
        </w:tc>
        <w:tc>
          <w:tcPr>
            <w:tcW w:type="dxa" w:w="1728"/>
          </w:tcPr>
          <w:p>
            <w:r>
              <w:rPr>
                <w:sz w:val="13"/>
              </w:rPr>
              <w:t>P0</w:t>
            </w:r>
          </w:p>
        </w:tc>
        <w:tc>
          <w:tcPr>
            <w:tcW w:type="dxa" w:w="1728"/>
          </w:tcPr>
          <w:p>
            <w:r>
              <w:rPr>
                <w:sz w:val="13"/>
              </w:rPr>
              <w:t>Slide 3 and README state condition/population</w:t>
            </w:r>
          </w:p>
        </w:tc>
      </w:tr>
      <w:tr>
        <w:tc>
          <w:tcPr>
            <w:tcW w:type="dxa" w:w="1728"/>
          </w:tcPr>
          <w:p>
            <w:r>
              <w:rPr>
                <w:sz w:val="13"/>
              </w:rPr>
              <w:t>Static/historical EHR stream</w:t>
            </w:r>
          </w:p>
        </w:tc>
        <w:tc>
          <w:tcPr>
            <w:tcW w:type="dxa" w:w="1728"/>
          </w:tcPr>
          <w:p>
            <w:r>
              <w:rPr>
                <w:sz w:val="13"/>
              </w:rPr>
              <w:t>Official listing</w:t>
            </w:r>
          </w:p>
        </w:tc>
        <w:tc>
          <w:tcPr>
            <w:tcW w:type="dxa" w:w="1728"/>
          </w:tcPr>
          <w:p>
            <w:r>
              <w:rPr>
                <w:sz w:val="13"/>
              </w:rPr>
              <w:t>Dataset selected; implementation not verified</w:t>
            </w:r>
          </w:p>
        </w:tc>
        <w:tc>
          <w:tcPr>
            <w:tcW w:type="dxa" w:w="1728"/>
          </w:tcPr>
          <w:p>
            <w:r>
              <w:rPr>
                <w:sz w:val="13"/>
              </w:rPr>
              <w:t>Load clinical/lab/medication summary with source attribution</w:t>
            </w:r>
          </w:p>
        </w:tc>
        <w:tc>
          <w:tcPr>
            <w:tcW w:type="dxa" w:w="1728"/>
          </w:tcPr>
          <w:p>
            <w:r>
              <w:rPr>
                <w:sz w:val="13"/>
              </w:rPr>
              <w:t>P0</w:t>
            </w:r>
          </w:p>
        </w:tc>
        <w:tc>
          <w:tcPr>
            <w:tcW w:type="dxa" w:w="1728"/>
          </w:tcPr>
          <w:p>
            <w:r>
              <w:rPr>
                <w:sz w:val="13"/>
              </w:rPr>
              <w:t>Data dictionary and code show same patient IDs</w:t>
            </w:r>
          </w:p>
        </w:tc>
      </w:tr>
      <w:tr>
        <w:tc>
          <w:tcPr>
            <w:tcW w:type="dxa" w:w="1728"/>
          </w:tcPr>
          <w:p>
            <w:r>
              <w:rPr>
                <w:sz w:val="13"/>
              </w:rPr>
              <w:t>Dynamic wearable/IoT stream</w:t>
            </w:r>
          </w:p>
        </w:tc>
        <w:tc>
          <w:tcPr>
            <w:tcW w:type="dxa" w:w="1728"/>
          </w:tcPr>
          <w:p>
            <w:r>
              <w:rPr>
                <w:sz w:val="13"/>
              </w:rPr>
              <w:t>Official listing</w:t>
            </w:r>
          </w:p>
        </w:tc>
        <w:tc>
          <w:tcPr>
            <w:tcW w:type="dxa" w:w="1728"/>
          </w:tcPr>
          <w:p>
            <w:r>
              <w:rPr>
                <w:sz w:val="13"/>
              </w:rPr>
              <w:t>Dataset selected; implementation not verified</w:t>
            </w:r>
          </w:p>
        </w:tc>
        <w:tc>
          <w:tcPr>
            <w:tcW w:type="dxa" w:w="1728"/>
          </w:tcPr>
          <w:p>
            <w:r>
              <w:rPr>
                <w:sz w:val="13"/>
              </w:rPr>
              <w:t>Load 15-minute CGM time series</w:t>
            </w:r>
          </w:p>
        </w:tc>
        <w:tc>
          <w:tcPr>
            <w:tcW w:type="dxa" w:w="1728"/>
          </w:tcPr>
          <w:p>
            <w:r>
              <w:rPr>
                <w:sz w:val="13"/>
              </w:rPr>
              <w:t>P0</w:t>
            </w:r>
          </w:p>
        </w:tc>
        <w:tc>
          <w:tcPr>
            <w:tcW w:type="dxa" w:w="1728"/>
          </w:tcPr>
          <w:p>
            <w:r>
              <w:rPr>
                <w:sz w:val="13"/>
              </w:rPr>
              <w:t>Dashboard updates from new CGM sample</w:t>
            </w:r>
          </w:p>
        </w:tc>
      </w:tr>
      <w:tr>
        <w:tc>
          <w:tcPr>
            <w:tcW w:type="dxa" w:w="1728"/>
          </w:tcPr>
          <w:p>
            <w:r>
              <w:rPr>
                <w:sz w:val="13"/>
              </w:rPr>
              <w:t>Fuse both streams for prediction</w:t>
            </w:r>
          </w:p>
        </w:tc>
        <w:tc>
          <w:tcPr>
            <w:tcW w:type="dxa" w:w="1728"/>
          </w:tcPr>
          <w:p>
            <w:r>
              <w:rPr>
                <w:sz w:val="13"/>
              </w:rPr>
              <w:t>Official listing</w:t>
            </w:r>
          </w:p>
        </w:tc>
        <w:tc>
          <w:tcPr>
            <w:tcW w:type="dxa" w:w="1728"/>
          </w:tcPr>
          <w:p>
            <w:r>
              <w:rPr>
                <w:sz w:val="13"/>
              </w:rPr>
              <w:t>Not verified</w:t>
            </w:r>
          </w:p>
        </w:tc>
        <w:tc>
          <w:tcPr>
            <w:tcW w:type="dxa" w:w="1728"/>
          </w:tcPr>
          <w:p>
            <w:r>
              <w:rPr>
                <w:sz w:val="13"/>
              </w:rPr>
              <w:t>Create time-aligned features using only past data</w:t>
            </w:r>
          </w:p>
        </w:tc>
        <w:tc>
          <w:tcPr>
            <w:tcW w:type="dxa" w:w="1728"/>
          </w:tcPr>
          <w:p>
            <w:r>
              <w:rPr>
                <w:sz w:val="13"/>
              </w:rPr>
              <w:t>P0</w:t>
            </w:r>
          </w:p>
        </w:tc>
        <w:tc>
          <w:tcPr>
            <w:tcW w:type="dxa" w:w="1728"/>
          </w:tcPr>
          <w:p>
            <w:r>
              <w:rPr>
                <w:sz w:val="13"/>
              </w:rPr>
              <w:t>Ablation compares static-only, CGM-only and fused</w:t>
            </w:r>
          </w:p>
        </w:tc>
      </w:tr>
      <w:tr>
        <w:tc>
          <w:tcPr>
            <w:tcW w:type="dxa" w:w="1728"/>
          </w:tcPr>
          <w:p>
            <w:r>
              <w:rPr>
                <w:sz w:val="13"/>
              </w:rPr>
              <w:t>Predict a defined future adverse event</w:t>
            </w:r>
          </w:p>
        </w:tc>
        <w:tc>
          <w:tcPr>
            <w:tcW w:type="dxa" w:w="1728"/>
          </w:tcPr>
          <w:p>
            <w:r>
              <w:rPr>
                <w:sz w:val="13"/>
              </w:rPr>
              <w:t>Official listing</w:t>
            </w:r>
          </w:p>
        </w:tc>
        <w:tc>
          <w:tcPr>
            <w:tcW w:type="dxa" w:w="1728"/>
          </w:tcPr>
          <w:p>
            <w:r>
              <w:rPr>
                <w:sz w:val="13"/>
              </w:rPr>
              <w:t>Target defined; model not verified</w:t>
            </w:r>
          </w:p>
        </w:tc>
        <w:tc>
          <w:tcPr>
            <w:tcW w:type="dxa" w:w="1728"/>
          </w:tcPr>
          <w:p>
            <w:r>
              <w:rPr>
                <w:sz w:val="13"/>
              </w:rPr>
              <w:t>Train baseline and candidate classifier</w:t>
            </w:r>
          </w:p>
        </w:tc>
        <w:tc>
          <w:tcPr>
            <w:tcW w:type="dxa" w:w="1728"/>
          </w:tcPr>
          <w:p>
            <w:r>
              <w:rPr>
                <w:sz w:val="13"/>
              </w:rPr>
              <w:t>P0</w:t>
            </w:r>
          </w:p>
        </w:tc>
        <w:tc>
          <w:tcPr>
            <w:tcW w:type="dxa" w:w="1728"/>
          </w:tcPr>
          <w:p>
            <w:r>
              <w:rPr>
                <w:sz w:val="13"/>
              </w:rPr>
              <w:t>Held-out patient evaluation results reproduced</w:t>
            </w:r>
          </w:p>
        </w:tc>
      </w:tr>
      <w:tr>
        <w:tc>
          <w:tcPr>
            <w:tcW w:type="dxa" w:w="1728"/>
          </w:tcPr>
          <w:p>
            <w:r>
              <w:rPr>
                <w:sz w:val="13"/>
              </w:rPr>
              <w:t>Doctor-facing UI</w:t>
            </w:r>
          </w:p>
        </w:tc>
        <w:tc>
          <w:tcPr>
            <w:tcW w:type="dxa" w:w="1728"/>
          </w:tcPr>
          <w:p>
            <w:r>
              <w:rPr>
                <w:sz w:val="13"/>
              </w:rPr>
              <w:t>Official listing</w:t>
            </w:r>
          </w:p>
        </w:tc>
        <w:tc>
          <w:tcPr>
            <w:tcW w:type="dxa" w:w="1728"/>
          </w:tcPr>
          <w:p>
            <w:r>
              <w:rPr>
                <w:sz w:val="13"/>
              </w:rPr>
              <w:t>Concept mock-up included; running app not verified</w:t>
            </w:r>
          </w:p>
        </w:tc>
        <w:tc>
          <w:tcPr>
            <w:tcW w:type="dxa" w:w="1728"/>
          </w:tcPr>
          <w:p>
            <w:r>
              <w:rPr>
                <w:sz w:val="13"/>
              </w:rPr>
              <w:t>Implement dashboard or clearly label mock-up</w:t>
            </w:r>
          </w:p>
        </w:tc>
        <w:tc>
          <w:tcPr>
            <w:tcW w:type="dxa" w:w="1728"/>
          </w:tcPr>
          <w:p>
            <w:r>
              <w:rPr>
                <w:sz w:val="13"/>
              </w:rPr>
              <w:t>P0</w:t>
            </w:r>
          </w:p>
        </w:tc>
        <w:tc>
          <w:tcPr>
            <w:tcW w:type="dxa" w:w="1728"/>
          </w:tcPr>
          <w:p>
            <w:r>
              <w:rPr>
                <w:sz w:val="13"/>
              </w:rPr>
              <w:t>Live walkthrough with synthetic identifiers</w:t>
            </w:r>
          </w:p>
        </w:tc>
      </w:tr>
      <w:tr>
        <w:tc>
          <w:tcPr>
            <w:tcW w:type="dxa" w:w="1728"/>
          </w:tcPr>
          <w:p>
            <w:r>
              <w:rPr>
                <w:sz w:val="13"/>
              </w:rPr>
              <w:t>Use only anonymized/open/synthetic data</w:t>
            </w:r>
          </w:p>
        </w:tc>
        <w:tc>
          <w:tcPr>
            <w:tcW w:type="dxa" w:w="1728"/>
          </w:tcPr>
          <w:p>
            <w:r>
              <w:rPr>
                <w:sz w:val="13"/>
              </w:rPr>
              <w:t>Official listing</w:t>
            </w:r>
          </w:p>
        </w:tc>
        <w:tc>
          <w:tcPr>
            <w:tcW w:type="dxa" w:w="1728"/>
          </w:tcPr>
          <w:p>
            <w:r>
              <w:rPr>
                <w:sz w:val="13"/>
              </w:rPr>
              <w:t>Selected public dataset; use conditions must be followed</w:t>
            </w:r>
          </w:p>
        </w:tc>
        <w:tc>
          <w:tcPr>
            <w:tcW w:type="dxa" w:w="1728"/>
          </w:tcPr>
          <w:p>
            <w:r>
              <w:rPr>
                <w:sz w:val="13"/>
              </w:rPr>
              <w:t>Attribute CC BY 4.0; no personal data in demo</w:t>
            </w:r>
          </w:p>
        </w:tc>
        <w:tc>
          <w:tcPr>
            <w:tcW w:type="dxa" w:w="1728"/>
          </w:tcPr>
          <w:p>
            <w:r>
              <w:rPr>
                <w:sz w:val="13"/>
              </w:rPr>
              <w:t>P0</w:t>
            </w:r>
          </w:p>
        </w:tc>
        <w:tc>
          <w:tcPr>
            <w:tcW w:type="dxa" w:w="1728"/>
          </w:tcPr>
          <w:p>
            <w:r>
              <w:rPr>
                <w:sz w:val="13"/>
              </w:rPr>
              <w:t>README cites source and licence</w:t>
            </w:r>
          </w:p>
        </w:tc>
      </w:tr>
      <w:tr>
        <w:tc>
          <w:tcPr>
            <w:tcW w:type="dxa" w:w="1728"/>
          </w:tcPr>
          <w:p>
            <w:r>
              <w:rPr>
                <w:sz w:val="13"/>
              </w:rPr>
              <w:t>Public GitHub repository</w:t>
            </w:r>
          </w:p>
        </w:tc>
        <w:tc>
          <w:tcPr>
            <w:tcW w:type="dxa" w:w="1728"/>
          </w:tcPr>
          <w:p>
            <w:r>
              <w:rPr>
                <w:sz w:val="13"/>
              </w:rPr>
              <w:t>Official listing</w:t>
            </w:r>
          </w:p>
        </w:tc>
        <w:tc>
          <w:tcPr>
            <w:tcW w:type="dxa" w:w="1728"/>
          </w:tcPr>
          <w:p>
            <w:r>
              <w:rPr>
                <w:sz w:val="13"/>
              </w:rPr>
              <w:t>No URL provided</w:t>
            </w:r>
          </w:p>
        </w:tc>
        <w:tc>
          <w:tcPr>
            <w:tcW w:type="dxa" w:w="1728"/>
          </w:tcPr>
          <w:p>
            <w:r>
              <w:rPr>
                <w:sz w:val="13"/>
              </w:rPr>
              <w:t>Create public repo; test logged-out access</w:t>
            </w:r>
          </w:p>
        </w:tc>
        <w:tc>
          <w:tcPr>
            <w:tcW w:type="dxa" w:w="1728"/>
          </w:tcPr>
          <w:p>
            <w:r>
              <w:rPr>
                <w:sz w:val="13"/>
              </w:rPr>
              <w:t>P0</w:t>
            </w:r>
          </w:p>
        </w:tc>
        <w:tc>
          <w:tcPr>
            <w:tcW w:type="dxa" w:w="1728"/>
          </w:tcPr>
          <w:p>
            <w:r>
              <w:rPr>
                <w:sz w:val="13"/>
              </w:rPr>
              <w:t>URL opens without sign-in</w:t>
            </w:r>
          </w:p>
        </w:tc>
      </w:tr>
      <w:tr>
        <w:tc>
          <w:tcPr>
            <w:tcW w:type="dxa" w:w="1728"/>
          </w:tcPr>
          <w:p>
            <w:r>
              <w:rPr>
                <w:sz w:val="13"/>
              </w:rPr>
              <w:t>README fields</w:t>
            </w:r>
          </w:p>
        </w:tc>
        <w:tc>
          <w:tcPr>
            <w:tcW w:type="dxa" w:w="1728"/>
          </w:tcPr>
          <w:p>
            <w:r>
              <w:rPr>
                <w:sz w:val="13"/>
              </w:rPr>
              <w:t>Official listing</w:t>
            </w:r>
          </w:p>
        </w:tc>
        <w:tc>
          <w:tcPr>
            <w:tcW w:type="dxa" w:w="1728"/>
          </w:tcPr>
          <w:p>
            <w:r>
              <w:rPr>
                <w:sz w:val="13"/>
              </w:rPr>
              <w:t>Not provided</w:t>
            </w:r>
          </w:p>
        </w:tc>
        <w:tc>
          <w:tcPr>
            <w:tcW w:type="dxa" w:w="1728"/>
          </w:tcPr>
          <w:p>
            <w:r>
              <w:rPr>
                <w:sz w:val="13"/>
              </w:rPr>
              <w:t>Include team/college, title, use case, stack/model, video, licence, architecture, presentation</w:t>
            </w:r>
          </w:p>
        </w:tc>
        <w:tc>
          <w:tcPr>
            <w:tcW w:type="dxa" w:w="1728"/>
          </w:tcPr>
          <w:p>
            <w:r>
              <w:rPr>
                <w:sz w:val="13"/>
              </w:rPr>
              <w:t>P0</w:t>
            </w:r>
          </w:p>
        </w:tc>
        <w:tc>
          <w:tcPr>
            <w:tcW w:type="dxa" w:w="1728"/>
          </w:tcPr>
          <w:p>
            <w:r>
              <w:rPr>
                <w:sz w:val="13"/>
              </w:rPr>
              <w:t>README checklist completed</w:t>
            </w:r>
          </w:p>
        </w:tc>
      </w:tr>
      <w:tr>
        <w:tc>
          <w:tcPr>
            <w:tcW w:type="dxa" w:w="1728"/>
          </w:tcPr>
          <w:p>
            <w:r>
              <w:rPr>
                <w:sz w:val="13"/>
              </w:rPr>
              <w:t>Minimum 20-minute video</w:t>
            </w:r>
          </w:p>
        </w:tc>
        <w:tc>
          <w:tcPr>
            <w:tcW w:type="dxa" w:w="1728"/>
          </w:tcPr>
          <w:p>
            <w:r>
              <w:rPr>
                <w:sz w:val="13"/>
              </w:rPr>
              <w:t>Official listing</w:t>
            </w:r>
          </w:p>
        </w:tc>
        <w:tc>
          <w:tcPr>
            <w:tcW w:type="dxa" w:w="1728"/>
          </w:tcPr>
          <w:p>
            <w:r>
              <w:rPr>
                <w:sz w:val="13"/>
              </w:rPr>
              <w:t>Script prepared; recording not provided</w:t>
            </w:r>
          </w:p>
        </w:tc>
        <w:tc>
          <w:tcPr>
            <w:tcW w:type="dxa" w:w="1728"/>
          </w:tcPr>
          <w:p>
            <w:r>
              <w:rPr>
                <w:sz w:val="13"/>
              </w:rPr>
              <w:t>Record and verify duration ≥20 minutes</w:t>
            </w:r>
          </w:p>
        </w:tc>
        <w:tc>
          <w:tcPr>
            <w:tcW w:type="dxa" w:w="1728"/>
          </w:tcPr>
          <w:p>
            <w:r>
              <w:rPr>
                <w:sz w:val="13"/>
              </w:rPr>
              <w:t>P0</w:t>
            </w:r>
          </w:p>
        </w:tc>
        <w:tc>
          <w:tcPr>
            <w:tcW w:type="dxa" w:w="1728"/>
          </w:tcPr>
          <w:p>
            <w:r>
              <w:rPr>
                <w:sz w:val="13"/>
              </w:rPr>
              <w:t>Final video URL plays while logged out</w:t>
            </w:r>
          </w:p>
        </w:tc>
      </w:tr>
      <w:tr>
        <w:tc>
          <w:tcPr>
            <w:tcW w:type="dxa" w:w="1728"/>
          </w:tcPr>
          <w:p>
            <w:r>
              <w:rPr>
                <w:sz w:val="13"/>
              </w:rPr>
              <w:t>Open-source licence</w:t>
            </w:r>
          </w:p>
        </w:tc>
        <w:tc>
          <w:tcPr>
            <w:tcW w:type="dxa" w:w="1728"/>
          </w:tcPr>
          <w:p>
            <w:r>
              <w:rPr>
                <w:sz w:val="13"/>
              </w:rPr>
              <w:t>Official listing</w:t>
            </w:r>
          </w:p>
        </w:tc>
        <w:tc>
          <w:tcPr>
            <w:tcW w:type="dxa" w:w="1728"/>
          </w:tcPr>
          <w:p>
            <w:r>
              <w:rPr>
                <w:sz w:val="13"/>
              </w:rPr>
              <w:t>Not provided</w:t>
            </w:r>
          </w:p>
        </w:tc>
        <w:tc>
          <w:tcPr>
            <w:tcW w:type="dxa" w:w="1728"/>
          </w:tcPr>
          <w:p>
            <w:r>
              <w:rPr>
                <w:sz w:val="13"/>
              </w:rPr>
              <w:t>Choose code licence; keep dataset CC BY 4.0 attribution distinct</w:t>
            </w:r>
          </w:p>
        </w:tc>
        <w:tc>
          <w:tcPr>
            <w:tcW w:type="dxa" w:w="1728"/>
          </w:tcPr>
          <w:p>
            <w:r>
              <w:rPr>
                <w:sz w:val="13"/>
              </w:rPr>
              <w:t>P0</w:t>
            </w:r>
          </w:p>
        </w:tc>
        <w:tc>
          <w:tcPr>
            <w:tcW w:type="dxa" w:w="1728"/>
          </w:tcPr>
          <w:p>
            <w:r>
              <w:rPr>
                <w:sz w:val="13"/>
              </w:rPr>
              <w:t>LICENSE + attribution file present</w:t>
            </w:r>
          </w:p>
        </w:tc>
      </w:tr>
      <w:tr>
        <w:tc>
          <w:tcPr>
            <w:tcW w:type="dxa" w:w="1728"/>
          </w:tcPr>
          <w:p>
            <w:r>
              <w:rPr>
                <w:sz w:val="13"/>
              </w:rPr>
              <w:t>Architecture diagram PDF/PPT</w:t>
            </w:r>
          </w:p>
        </w:tc>
        <w:tc>
          <w:tcPr>
            <w:tcW w:type="dxa" w:w="1728"/>
          </w:tcPr>
          <w:p>
            <w:r>
              <w:rPr>
                <w:sz w:val="13"/>
              </w:rPr>
              <w:t>Official listing</w:t>
            </w:r>
          </w:p>
        </w:tc>
        <w:tc>
          <w:tcPr>
            <w:tcW w:type="dxa" w:w="1728"/>
          </w:tcPr>
          <w:p>
            <w:r>
              <w:rPr>
                <w:sz w:val="13"/>
              </w:rPr>
              <w:t>Separate PDF created; review rendering</w:t>
            </w:r>
          </w:p>
        </w:tc>
        <w:tc>
          <w:tcPr>
            <w:tcW w:type="dxa" w:w="1728"/>
          </w:tcPr>
          <w:p>
            <w:r>
              <w:rPr>
                <w:sz w:val="13"/>
              </w:rPr>
              <w:t>Upload architecture PDF and include in repo</w:t>
            </w:r>
          </w:p>
        </w:tc>
        <w:tc>
          <w:tcPr>
            <w:tcW w:type="dxa" w:w="1728"/>
          </w:tcPr>
          <w:p>
            <w:r>
              <w:rPr>
                <w:sz w:val="13"/>
              </w:rPr>
              <w:t>P1</w:t>
            </w:r>
          </w:p>
        </w:tc>
        <w:tc>
          <w:tcPr>
            <w:tcW w:type="dxa" w:w="1728"/>
          </w:tcPr>
          <w:p>
            <w:r>
              <w:rPr>
                <w:sz w:val="13"/>
              </w:rPr>
              <w:t>PDF opens and labels are legible</w:t>
            </w:r>
          </w:p>
        </w:tc>
      </w:tr>
      <w:tr>
        <w:tc>
          <w:tcPr>
            <w:tcW w:type="dxa" w:w="1728"/>
          </w:tcPr>
          <w:p>
            <w:r>
              <w:rPr>
                <w:sz w:val="13"/>
              </w:rPr>
              <w:t>Presentation PDF/PPT</w:t>
            </w:r>
          </w:p>
        </w:tc>
        <w:tc>
          <w:tcPr>
            <w:tcW w:type="dxa" w:w="1728"/>
          </w:tcPr>
          <w:p>
            <w:r>
              <w:rPr>
                <w:sz w:val="13"/>
              </w:rPr>
              <w:t>Official listing</w:t>
            </w:r>
          </w:p>
        </w:tc>
        <w:tc>
          <w:tcPr>
            <w:tcW w:type="dxa" w:w="1728"/>
          </w:tcPr>
          <w:p>
            <w:r>
              <w:rPr>
                <w:sz w:val="13"/>
              </w:rPr>
              <w:t>PPTX created; PDF export optional</w:t>
            </w:r>
          </w:p>
        </w:tc>
        <w:tc>
          <w:tcPr>
            <w:tcW w:type="dxa" w:w="1728"/>
          </w:tcPr>
          <w:p>
            <w:r>
              <w:rPr>
                <w:sz w:val="13"/>
              </w:rPr>
              <w:t>Upload PPTX or export PDF; ensure accessible</w:t>
            </w:r>
          </w:p>
        </w:tc>
        <w:tc>
          <w:tcPr>
            <w:tcW w:type="dxa" w:w="1728"/>
          </w:tcPr>
          <w:p>
            <w:r>
              <w:rPr>
                <w:sz w:val="13"/>
              </w:rPr>
              <w:t>P1</w:t>
            </w:r>
          </w:p>
        </w:tc>
        <w:tc>
          <w:tcPr>
            <w:tcW w:type="dxa" w:w="1728"/>
          </w:tcPr>
          <w:p>
            <w:r>
              <w:rPr>
                <w:sz w:val="13"/>
              </w:rPr>
              <w:t>File opens; no missing fonts or overflow</w:t>
            </w:r>
          </w:p>
        </w:tc>
      </w:tr>
      <w:tr>
        <w:tc>
          <w:tcPr>
            <w:tcW w:type="dxa" w:w="1728"/>
          </w:tcPr>
          <w:p>
            <w:r>
              <w:rPr>
                <w:sz w:val="13"/>
              </w:rPr>
              <w:t>Folder naming convention</w:t>
            </w:r>
          </w:p>
        </w:tc>
        <w:tc>
          <w:tcPr>
            <w:tcW w:type="dxa" w:w="1728"/>
          </w:tcPr>
          <w:p>
            <w:r>
              <w:rPr>
                <w:sz w:val="13"/>
              </w:rPr>
              <w:t>Official listing</w:t>
            </w:r>
          </w:p>
        </w:tc>
        <w:tc>
          <w:tcPr>
            <w:tcW w:type="dxa" w:w="1728"/>
          </w:tcPr>
          <w:p>
            <w:r>
              <w:rPr>
                <w:sz w:val="13"/>
              </w:rPr>
              <w:t>Unknown</w:t>
            </w:r>
          </w:p>
        </w:tc>
        <w:tc>
          <w:tcPr>
            <w:tcW w:type="dxa" w:w="1728"/>
          </w:tcPr>
          <w:p>
            <w:r>
              <w:rPr>
                <w:sz w:val="13"/>
              </w:rPr>
              <w:t>Use Team Name_College Name if portal requires folder</w:t>
            </w:r>
          </w:p>
        </w:tc>
        <w:tc>
          <w:tcPr>
            <w:tcW w:type="dxa" w:w="1728"/>
          </w:tcPr>
          <w:p>
            <w:r>
              <w:rPr>
                <w:sz w:val="13"/>
              </w:rPr>
              <w:t>P1</w:t>
            </w:r>
          </w:p>
        </w:tc>
        <w:tc>
          <w:tcPr>
            <w:tcW w:type="dxa" w:w="1728"/>
          </w:tcPr>
          <w:p>
            <w:r>
              <w:rPr>
                <w:sz w:val="13"/>
              </w:rPr>
              <w:t>Folder name matches listing</w:t>
            </w:r>
          </w:p>
        </w:tc>
      </w:tr>
      <w:tr>
        <w:tc>
          <w:tcPr>
            <w:tcW w:type="dxa" w:w="1728"/>
          </w:tcPr>
          <w:p>
            <w:r>
              <w:rPr>
                <w:sz w:val="13"/>
              </w:rPr>
              <w:t>Submission form fields</w:t>
            </w:r>
          </w:p>
        </w:tc>
        <w:tc>
          <w:tcPr>
            <w:tcW w:type="dxa" w:w="1728"/>
          </w:tcPr>
          <w:p>
            <w:r>
              <w:rPr>
                <w:sz w:val="13"/>
              </w:rPr>
              <w:t>Official listing</w:t>
            </w:r>
          </w:p>
        </w:tc>
        <w:tc>
          <w:tcPr>
            <w:tcW w:type="dxa" w:w="1728"/>
          </w:tcPr>
          <w:p>
            <w:r>
              <w:rPr>
                <w:sz w:val="13"/>
              </w:rPr>
              <w:t>Unknown</w:t>
            </w:r>
          </w:p>
        </w:tc>
        <w:tc>
          <w:tcPr>
            <w:tcW w:type="dxa" w:w="1728"/>
          </w:tcPr>
          <w:p>
            <w:r>
              <w:rPr>
                <w:sz w:val="13"/>
              </w:rPr>
              <w:t>Submit only leader name, phone, email and public repo link as instructed</w:t>
            </w:r>
          </w:p>
        </w:tc>
        <w:tc>
          <w:tcPr>
            <w:tcW w:type="dxa" w:w="1728"/>
          </w:tcPr>
          <w:p>
            <w:r>
              <w:rPr>
                <w:sz w:val="13"/>
              </w:rPr>
              <w:t>P1</w:t>
            </w:r>
          </w:p>
        </w:tc>
        <w:tc>
          <w:tcPr>
            <w:tcW w:type="dxa" w:w="1728"/>
          </w:tcPr>
          <w:p>
            <w:r>
              <w:rPr>
                <w:sz w:val="13"/>
              </w:rPr>
              <w:t>Portal form accepted</w:t>
            </w:r>
          </w:p>
        </w:tc>
      </w:tr>
      <w:tr>
        <w:tc>
          <w:tcPr>
            <w:tcW w:type="dxa" w:w="1728"/>
          </w:tcPr>
          <w:p>
            <w:r>
              <w:rPr>
                <w:sz w:val="13"/>
              </w:rPr>
              <w:t>Shortlist count</w:t>
            </w:r>
          </w:p>
        </w:tc>
        <w:tc>
          <w:tcPr>
            <w:tcW w:type="dxa" w:w="1728"/>
          </w:tcPr>
          <w:p>
            <w:r>
              <w:rPr>
                <w:sz w:val="13"/>
              </w:rPr>
              <w:t>Listing inconsistency</w:t>
            </w:r>
          </w:p>
        </w:tc>
        <w:tc>
          <w:tcPr>
            <w:tcW w:type="dxa" w:w="1728"/>
          </w:tcPr>
          <w:p>
            <w:r>
              <w:rPr>
                <w:sz w:val="13"/>
              </w:rPr>
              <w:t>Ambiguous</w:t>
            </w:r>
          </w:p>
        </w:tc>
        <w:tc>
          <w:tcPr>
            <w:tcW w:type="dxa" w:w="1728"/>
          </w:tcPr>
          <w:p>
            <w:r>
              <w:rPr>
                <w:sz w:val="13"/>
              </w:rPr>
              <w:t>Ask organiser: top 5 or top 10 at initial screening</w:t>
            </w:r>
          </w:p>
        </w:tc>
        <w:tc>
          <w:tcPr>
            <w:tcW w:type="dxa" w:w="1728"/>
          </w:tcPr>
          <w:p>
            <w:r>
              <w:rPr>
                <w:sz w:val="13"/>
              </w:rPr>
              <w:t>P2</w:t>
            </w:r>
          </w:p>
        </w:tc>
        <w:tc>
          <w:tcPr>
            <w:tcW w:type="dxa" w:w="1728"/>
          </w:tcPr>
          <w:p>
            <w:r>
              <w:rPr>
                <w:sz w:val="13"/>
              </w:rPr>
              <w:t>Written clarification saved</w:t>
            </w:r>
          </w:p>
        </w:tc>
      </w:tr>
      <w:tr>
        <w:tc>
          <w:tcPr>
            <w:tcW w:type="dxa" w:w="1728"/>
          </w:tcPr>
          <w:p>
            <w:r>
              <w:rPr>
                <w:sz w:val="13"/>
              </w:rPr>
              <w:t>Official weighted rubric</w:t>
            </w:r>
          </w:p>
        </w:tc>
        <w:tc>
          <w:tcPr>
            <w:tcW w:type="dxa" w:w="1728"/>
          </w:tcPr>
          <w:p>
            <w:r>
              <w:rPr>
                <w:sz w:val="13"/>
              </w:rPr>
              <w:t>None visible in listing</w:t>
            </w:r>
          </w:p>
        </w:tc>
        <w:tc>
          <w:tcPr>
            <w:tcW w:type="dxa" w:w="1728"/>
          </w:tcPr>
          <w:p>
            <w:r>
              <w:rPr>
                <w:sz w:val="13"/>
              </w:rPr>
              <w:t>Not published in accessible listing</w:t>
            </w:r>
          </w:p>
        </w:tc>
        <w:tc>
          <w:tcPr>
            <w:tcW w:type="dxa" w:w="1728"/>
          </w:tcPr>
          <w:p>
            <w:r>
              <w:rPr>
                <w:sz w:val="13"/>
              </w:rPr>
              <w:t>Do not invent organizer weights; use internal rubric only</w:t>
            </w:r>
          </w:p>
        </w:tc>
        <w:tc>
          <w:tcPr>
            <w:tcW w:type="dxa" w:w="1728"/>
          </w:tcPr>
          <w:p>
            <w:r>
              <w:rPr>
                <w:sz w:val="13"/>
              </w:rPr>
              <w:t>P2</w:t>
            </w:r>
          </w:p>
        </w:tc>
        <w:tc>
          <w:tcPr>
            <w:tcW w:type="dxa" w:w="1728"/>
          </w:tcPr>
          <w:p>
            <w:r>
              <w:rPr>
                <w:sz w:val="13"/>
              </w:rPr>
              <w:t>Deck does not label internal rubric as official</w:t>
            </w:r>
          </w:p>
        </w:tc>
      </w:tr>
    </w:tbl>
    <w:p>
      <w:pPr>
        <w:pStyle w:val="Heading1"/>
      </w:pPr>
      <w:r>
        <w:t>10. Prior-art and competitor comparison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sz w:val="14"/>
              </w:rPr>
              <w:t>Approach</w:t>
            </w:r>
          </w:p>
        </w:tc>
        <w:tc>
          <w:tcPr>
            <w:tcW w:type="dxa" w:w="2592"/>
          </w:tcPr>
          <w:p>
            <w:r>
              <w:rPr>
                <w:sz w:val="14"/>
              </w:rPr>
              <w:t>Capabilities / data</w:t>
            </w:r>
          </w:p>
        </w:tc>
        <w:tc>
          <w:tcPr>
            <w:tcW w:type="dxa" w:w="2592"/>
          </w:tcPr>
          <w:p>
            <w:r>
              <w:rPr>
                <w:sz w:val="14"/>
              </w:rPr>
              <w:t>Limitations / scope</w:t>
            </w:r>
          </w:p>
        </w:tc>
        <w:tc>
          <w:tcPr>
            <w:tcW w:type="dxa" w:w="2592"/>
          </w:tcPr>
          <w:p>
            <w:r>
              <w:rPr>
                <w:sz w:val="14"/>
              </w:rPr>
              <w:t>Implication for GlucoTwin</w:t>
            </w:r>
          </w:p>
        </w:tc>
      </w:tr>
      <w:tr>
        <w:tc>
          <w:tcPr>
            <w:tcW w:type="dxa" w:w="2592"/>
          </w:tcPr>
          <w:p>
            <w:r>
              <w:rPr>
                <w:sz w:val="14"/>
              </w:rPr>
              <w:t>ShanghaiT2DM dataset (Zhao et al., 2023)</w:t>
            </w:r>
          </w:p>
        </w:tc>
        <w:tc>
          <w:tcPr>
            <w:tcW w:type="dxa" w:w="2592"/>
          </w:tcPr>
          <w:p>
            <w:r>
              <w:rPr>
                <w:sz w:val="14"/>
              </w:rPr>
              <w:t>100 T2D patients; clinical features/labs/medications/diet + 15-min CGM; 112,475 readings.</w:t>
            </w:r>
          </w:p>
        </w:tc>
        <w:tc>
          <w:tcPr>
            <w:tcW w:type="dxa" w:w="2592"/>
          </w:tcPr>
          <w:p>
            <w:r>
              <w:rPr>
                <w:sz w:val="14"/>
              </w:rPr>
              <w:t>Dataset and research resource, not a deployed digital twin product.</w:t>
            </w:r>
          </w:p>
        </w:tc>
        <w:tc>
          <w:tcPr>
            <w:tcW w:type="dxa" w:w="2592"/>
          </w:tcPr>
          <w:p>
            <w:r>
              <w:rPr>
                <w:sz w:val="14"/>
              </w:rPr>
              <w:t>Best paired primary dataset for this PoC. It already enables static + dynamic modelling; not novel by itself.</w:t>
            </w:r>
          </w:p>
        </w:tc>
      </w:tr>
      <w:tr>
        <w:tc>
          <w:tcPr>
            <w:tcW w:type="dxa" w:w="2592"/>
          </w:tcPr>
          <w:p>
            <w:r>
              <w:rPr>
                <w:sz w:val="14"/>
              </w:rPr>
              <w:t>CGMacros (Das et al., 2025)</w:t>
            </w:r>
          </w:p>
        </w:tc>
        <w:tc>
          <w:tcPr>
            <w:tcW w:type="dxa" w:w="2592"/>
          </w:tcPr>
          <w:p>
            <w:r>
              <w:rPr>
                <w:sz w:val="14"/>
              </w:rPr>
              <w:t>45 people: 14 T2D, 16 prediabetes, 15 healthy; CGM, Fitbit, meals, baseline labs; ~10 days.</w:t>
            </w:r>
          </w:p>
        </w:tc>
        <w:tc>
          <w:tcPr>
            <w:tcW w:type="dxa" w:w="2592"/>
          </w:tcPr>
          <w:p>
            <w:r>
              <w:rPr>
                <w:sz w:val="14"/>
              </w:rPr>
              <w:t>Rich multimodal research dataset; small T2D subgroup and US cohort.</w:t>
            </w:r>
          </w:p>
        </w:tc>
        <w:tc>
          <w:tcPr>
            <w:tcW w:type="dxa" w:w="2592"/>
          </w:tcPr>
          <w:p>
            <w:r>
              <w:rPr>
                <w:sz w:val="14"/>
              </w:rPr>
              <w:t>Potential independent exploratory robustness check; do not merge identities.</w:t>
            </w:r>
          </w:p>
        </w:tc>
      </w:tr>
      <w:tr>
        <w:tc>
          <w:tcPr>
            <w:tcW w:type="dxa" w:w="2592"/>
          </w:tcPr>
          <w:p>
            <w:r>
              <w:rPr>
                <w:sz w:val="14"/>
              </w:rPr>
              <w:t>DiaTrend (Prioleau et al., 2023)</w:t>
            </w:r>
          </w:p>
        </w:tc>
        <w:tc>
          <w:tcPr>
            <w:tcW w:type="dxa" w:w="2592"/>
          </w:tcPr>
          <w:p>
            <w:r>
              <w:rPr>
                <w:sz w:val="14"/>
              </w:rPr>
              <w:t>54 T1D participants; 27,561 CGM days and 8,220 pump days; clinical characteristics/HbA1c.</w:t>
            </w:r>
          </w:p>
        </w:tc>
        <w:tc>
          <w:tcPr>
            <w:tcW w:type="dxa" w:w="2592"/>
          </w:tcPr>
          <w:p>
            <w:r>
              <w:rPr>
                <w:sz w:val="14"/>
              </w:rPr>
              <w:t>Controlled-access longitudinal dataset; Type 1 diabetes.</w:t>
            </w:r>
          </w:p>
        </w:tc>
        <w:tc>
          <w:tcPr>
            <w:tcW w:type="dxa" w:w="2592"/>
          </w:tcPr>
          <w:p>
            <w:r>
              <w:rPr>
                <w:sz w:val="14"/>
              </w:rPr>
              <w:t>Useful related prior art, but not the primary target cohort.</w:t>
            </w:r>
          </w:p>
        </w:tc>
      </w:tr>
      <w:tr>
        <w:tc>
          <w:tcPr>
            <w:tcW w:type="dxa" w:w="2592"/>
          </w:tcPr>
          <w:p>
            <w:r>
              <w:rPr>
                <w:sz w:val="14"/>
              </w:rPr>
              <w:t>Thomsen et al., PLOS Digital Health (2025)</w:t>
            </w:r>
          </w:p>
        </w:tc>
        <w:tc>
          <w:tcPr>
            <w:tcW w:type="dxa" w:w="2592"/>
          </w:tcPr>
          <w:p>
            <w:r>
              <w:rPr>
                <w:sz w:val="14"/>
              </w:rPr>
              <w:t>205 participants with T1D; 60-minute glucose predictions; patient-specific transfer learning and racial-composition analysis.</w:t>
            </w:r>
          </w:p>
        </w:tc>
        <w:tc>
          <w:tcPr>
            <w:tcW w:type="dxa" w:w="2592"/>
          </w:tcPr>
          <w:p>
            <w:r>
              <w:rPr>
                <w:sz w:val="14"/>
              </w:rPr>
              <w:t>Shows CGM prediction is established and fairness/generalization matter.</w:t>
            </w:r>
          </w:p>
        </w:tc>
        <w:tc>
          <w:tcPr>
            <w:tcW w:type="dxa" w:w="2592"/>
          </w:tcPr>
          <w:p>
            <w:r>
              <w:rPr>
                <w:sz w:val="14"/>
              </w:rPr>
              <w:t>Motivates patient-level testing and subgroup limitations; does not validate T2D performance.</w:t>
            </w:r>
          </w:p>
        </w:tc>
      </w:tr>
      <w:tr>
        <w:tc>
          <w:tcPr>
            <w:tcW w:type="dxa" w:w="2592"/>
          </w:tcPr>
          <w:p>
            <w:r>
              <w:rPr>
                <w:sz w:val="14"/>
              </w:rPr>
              <w:t>UVA/Padova T1D simulator (review 2023)</w:t>
            </w:r>
          </w:p>
        </w:tc>
        <w:tc>
          <w:tcPr>
            <w:tcW w:type="dxa" w:w="2592"/>
          </w:tcPr>
          <w:p>
            <w:r>
              <w:rPr>
                <w:sz w:val="14"/>
              </w:rPr>
              <w:t>Physiological virtual-patient population used in artificial-pancreas algorithm research.</w:t>
            </w:r>
          </w:p>
        </w:tc>
        <w:tc>
          <w:tcPr>
            <w:tcW w:type="dxa" w:w="2592"/>
          </w:tcPr>
          <w:p>
            <w:r>
              <w:rPr>
                <w:sz w:val="14"/>
              </w:rPr>
              <w:t>A simulation environment mainly for T1D and control-algorithm testing.</w:t>
            </w:r>
          </w:p>
        </w:tc>
        <w:tc>
          <w:tcPr>
            <w:tcW w:type="dxa" w:w="2592"/>
          </w:tcPr>
          <w:p>
            <w:r>
              <w:rPr>
                <w:sz w:val="14"/>
              </w:rPr>
              <w:t>Useful example of mechanistic digital-twin/simulator work; not a direct substitute for matched T2D real-world data.</w:t>
            </w:r>
          </w:p>
        </w:tc>
      </w:tr>
      <w:tr>
        <w:tc>
          <w:tcPr>
            <w:tcW w:type="dxa" w:w="2592"/>
          </w:tcPr>
          <w:p>
            <w:r>
              <w:rPr>
                <w:sz w:val="14"/>
              </w:rPr>
              <w:t>Interpretable glucose forecasting, Scientific Reports (2026)</w:t>
            </w:r>
          </w:p>
        </w:tc>
        <w:tc>
          <w:tcPr>
            <w:tcW w:type="dxa" w:w="2592"/>
          </w:tcPr>
          <w:p>
            <w:r>
              <w:rPr>
                <w:sz w:val="14"/>
              </w:rPr>
              <w:t>Compares traditional ML, deep learning and LLM approaches on ShanghaiT2DM; includes CGM + basic patient features.</w:t>
            </w:r>
          </w:p>
        </w:tc>
        <w:tc>
          <w:tcPr>
            <w:tcW w:type="dxa" w:w="2592"/>
          </w:tcPr>
          <w:p>
            <w:r>
              <w:rPr>
                <w:sz w:val="14"/>
              </w:rPr>
              <w:t>Directly overlaps the dataset and glucose forecasting task; reported window-level split, so strict comparison needs care.</w:t>
            </w:r>
          </w:p>
        </w:tc>
        <w:tc>
          <w:tcPr>
            <w:tcW w:type="dxa" w:w="2592"/>
          </w:tcPr>
          <w:p>
            <w:r>
              <w:rPr>
                <w:sz w:val="14"/>
              </w:rPr>
              <w:t>GlucoTwin must differentiate by its own patient-level split, explicit event label, event timeline, freshness/abstention and fusion ablation—not by claiming no one forecast glucose.</w:t>
            </w:r>
          </w:p>
        </w:tc>
      </w:tr>
      <w:tr>
        <w:tc>
          <w:tcPr>
            <w:tcW w:type="dxa" w:w="2592"/>
          </w:tcPr>
          <w:p>
            <w:r>
              <w:rPr>
                <w:sz w:val="14"/>
              </w:rPr>
              <w:t>Glucose-ML project (2025–2026 collection)</w:t>
            </w:r>
          </w:p>
        </w:tc>
        <w:tc>
          <w:tcPr>
            <w:tcW w:type="dxa" w:w="2592"/>
          </w:tcPr>
          <w:p>
            <w:r>
              <w:rPr>
                <w:sz w:val="14"/>
              </w:rPr>
              <w:t>20+ datasets; data harmonization tools; multiple glycemic groups across countries.</w:t>
            </w:r>
          </w:p>
        </w:tc>
        <w:tc>
          <w:tcPr>
            <w:tcW w:type="dxa" w:w="2592"/>
          </w:tcPr>
          <w:p>
            <w:r>
              <w:rPr>
                <w:sz w:val="14"/>
              </w:rPr>
              <w:t>Dataset aggregation and harmonization resource.</w:t>
            </w:r>
          </w:p>
        </w:tc>
        <w:tc>
          <w:tcPr>
            <w:tcW w:type="dxa" w:w="2592"/>
          </w:tcPr>
          <w:p>
            <w:r>
              <w:rPr>
                <w:sz w:val="14"/>
              </w:rPr>
              <w:t>Use to discover additional sources and understand licensing; do not claim GlucoTwin is the first CGM data fusion tool.</w:t>
            </w:r>
          </w:p>
        </w:tc>
      </w:tr>
    </w:tbl>
    <w:p>
      <w:pPr>
        <w:pStyle w:val="Heading1"/>
      </w:pPr>
      <w:r>
        <w:t>11. Recommended dashboard and API</w:t>
      </w:r>
    </w:p>
    <w:p>
      <w:r>
        <w:t>Screens: (1) patient list with synthetic IDs; (2) clinical profile and labs; (3) CGM chart and recent event timeline; (4) forecast panel with horizon, calibrated probability, freshness, uncertainty and reason codes; (5) prediction history/audit trail; (6) missing-data warning and abstention state.</w:t>
      </w:r>
    </w:p>
    <w:p>
      <w:r>
        <w:t>Possible minimal endpoints if FastAPI is used: GET /patients; GET /patients/{id}/state; POST /observations/cgm; POST /predict; GET /patients/{id}/predictions; POST /review. A Streamlit-only prototype can implement the same workflow without separate API endpoints.</w:t>
      </w:r>
    </w:p>
    <w:p>
      <w:r>
        <w:t>Important safety behavior: a new reading should not silently overwrite previous predictions; preserve timestamps and model versions. If the last reading is stale or the rolling window is incomplete, show the reason and suppress the forecast rather than inventing a value.</w:t>
      </w:r>
    </w:p>
    <w:p>
      <w:pPr>
        <w:pStyle w:val="Heading1"/>
      </w:pPr>
      <w:r>
        <w:t>12. Implementation sprint and acceptance gates</w:t>
      </w:r>
    </w:p>
    <w:tbl>
      <w:tblPr>
        <w:tblStyle w:val="TableGrid"/>
        <w:tblW w:type="auto" w:w="0"/>
        <w:tblLook w:firstColumn="1" w:firstRow="1" w:lastColumn="0" w:lastRow="0" w:noHBand="0" w:noVBand="1" w:val="04A0"/>
      </w:tblPr>
      <w:tblGrid>
        <w:gridCol w:w="5184"/>
        <w:gridCol w:w="5184"/>
      </w:tblGrid>
      <w:tr>
        <w:tc>
          <w:tcPr>
            <w:tcW w:type="dxa" w:w="5184"/>
          </w:tcPr>
          <w:p>
            <w:r>
              <w:rPr>
                <w:sz w:val="16"/>
              </w:rPr>
              <w:t>Phase / rough effort</w:t>
            </w:r>
          </w:p>
        </w:tc>
        <w:tc>
          <w:tcPr>
            <w:tcW w:type="dxa" w:w="5184"/>
          </w:tcPr>
          <w:p>
            <w:r>
              <w:rPr>
                <w:sz w:val="16"/>
              </w:rPr>
              <w:t>Acceptance gate</w:t>
            </w:r>
          </w:p>
        </w:tc>
      </w:tr>
      <w:tr>
        <w:tc>
          <w:tcPr>
            <w:tcW w:type="dxa" w:w="5184"/>
          </w:tcPr>
          <w:p>
            <w:r>
              <w:rPr>
                <w:sz w:val="16"/>
              </w:rPr>
              <w:t>P0 — Data (2–3 hours)</w:t>
            </w:r>
          </w:p>
        </w:tc>
        <w:tc>
          <w:tcPr>
            <w:tcW w:type="dxa" w:w="5184"/>
          </w:tcPr>
          <w:p>
            <w:r>
              <w:rPr>
                <w:sz w:val="16"/>
              </w:rPr>
              <w:t>Download ShanghaiT2DM; inspect file structure and licence; verify patient IDs and clinical summary fields; document data dictionary.</w:t>
            </w:r>
          </w:p>
        </w:tc>
      </w:tr>
      <w:tr>
        <w:tc>
          <w:tcPr>
            <w:tcW w:type="dxa" w:w="5184"/>
          </w:tcPr>
          <w:p>
            <w:r>
              <w:rPr>
                <w:sz w:val="16"/>
              </w:rPr>
              <w:t>P1 — Labels/features (2–3 hours)</w:t>
            </w:r>
          </w:p>
        </w:tc>
        <w:tc>
          <w:tcPr>
            <w:tcW w:type="dxa" w:w="5184"/>
          </w:tcPr>
          <w:p>
            <w:r>
              <w:rPr>
                <w:sz w:val="16"/>
              </w:rPr>
              <w:t>Construct past-only 4-hour windows and 60-minute labels; unit tests for no future leakage; produce label prevalence by patient.</w:t>
            </w:r>
          </w:p>
        </w:tc>
      </w:tr>
      <w:tr>
        <w:tc>
          <w:tcPr>
            <w:tcW w:type="dxa" w:w="5184"/>
          </w:tcPr>
          <w:p>
            <w:r>
              <w:rPr>
                <w:sz w:val="16"/>
              </w:rPr>
              <w:t>P2 — Baselines/model (3–5 hours)</w:t>
            </w:r>
          </w:p>
        </w:tc>
        <w:tc>
          <w:tcPr>
            <w:tcW w:type="dxa" w:w="5184"/>
          </w:tcPr>
          <w:p>
            <w:r>
              <w:rPr>
                <w:sz w:val="16"/>
              </w:rPr>
              <w:t>Run persistence and logistic regression, then XGBoost if time; split by patient; produce metrics and confusion matrices.</w:t>
            </w:r>
          </w:p>
        </w:tc>
      </w:tr>
      <w:tr>
        <w:tc>
          <w:tcPr>
            <w:tcW w:type="dxa" w:w="5184"/>
          </w:tcPr>
          <w:p>
            <w:r>
              <w:rPr>
                <w:sz w:val="16"/>
              </w:rPr>
              <w:t>P3 — Dashboard (2–4 hours)</w:t>
            </w:r>
          </w:p>
        </w:tc>
        <w:tc>
          <w:tcPr>
            <w:tcW w:type="dxa" w:w="5184"/>
          </w:tcPr>
          <w:p>
            <w:r>
              <w:rPr>
                <w:sz w:val="16"/>
              </w:rPr>
              <w:t>Synthetic patient selector; show profile, CGM trace, forecast status, freshness, explanations and prediction history.</w:t>
            </w:r>
          </w:p>
        </w:tc>
      </w:tr>
      <w:tr>
        <w:tc>
          <w:tcPr>
            <w:tcW w:type="dxa" w:w="5184"/>
          </w:tcPr>
          <w:p>
            <w:r>
              <w:rPr>
                <w:sz w:val="16"/>
              </w:rPr>
              <w:t>P4 — Evaluation (2–3 hours)</w:t>
            </w:r>
          </w:p>
        </w:tc>
        <w:tc>
          <w:tcPr>
            <w:tcW w:type="dxa" w:w="5184"/>
          </w:tcPr>
          <w:p>
            <w:r>
              <w:rPr>
                <w:sz w:val="16"/>
              </w:rPr>
              <w:t>Ablations, missingness stress test, calibration, false alerts/day, per-patient reporting.</w:t>
            </w:r>
          </w:p>
        </w:tc>
      </w:tr>
      <w:tr>
        <w:tc>
          <w:tcPr>
            <w:tcW w:type="dxa" w:w="5184"/>
          </w:tcPr>
          <w:p>
            <w:r>
              <w:rPr>
                <w:sz w:val="16"/>
              </w:rPr>
              <w:t>P5 — Release (2–3 hours)</w:t>
            </w:r>
          </w:p>
        </w:tc>
        <w:tc>
          <w:tcPr>
            <w:tcW w:type="dxa" w:w="5184"/>
          </w:tcPr>
          <w:p>
            <w:r>
              <w:rPr>
                <w:sz w:val="16"/>
              </w:rPr>
              <w:t>Tests, README, licence, architecture PDF, presentation, record ≥20-minute video and verify all links.</w:t>
            </w:r>
          </w:p>
        </w:tc>
      </w:tr>
    </w:tbl>
    <w:p>
      <w:r>
        <w:t>The above is a build plan, not a claim that the phases have been completed. Given the official same-day deadline, prioritize an end-to-end reproducible baseline over optional UI polish. If the model cannot be trained, state the limitation rather than fabricating results.</w:t>
      </w:r>
    </w:p>
    <w:p>
      <w:pPr>
        <w:pStyle w:val="Heading1"/>
      </w:pPr>
      <w:r>
        <w:t>13. 30 difficult judge questions and defensible answers</w:t>
      </w:r>
    </w:p>
    <w:p>
      <w:pPr>
        <w:pStyle w:val="Heading2"/>
      </w:pPr>
      <w:r>
        <w:t>1. What makes this a digital twin rather than an ordinary classifier?</w:t>
      </w:r>
    </w:p>
    <w:p>
      <w:r>
        <w:t>The proposed twin maintains a patient-specific state combining baseline clinical features, a rolling CGM history, time-stamped events, forecast history and data-freshness metadata. New readings update that state and trigger a new forecast. A static classifier without this update loop would not meet the intended behavior.</w:t>
      </w:r>
    </w:p>
    <w:p>
      <w:pPr>
        <w:pStyle w:val="Heading2"/>
      </w:pPr>
      <w:r>
        <w:t>2. Why did you pivot away from Matri-Kavach?</w:t>
      </w:r>
    </w:p>
    <w:p>
      <w:r>
        <w:t>The supplied Matri-Kavach deck addresses maternal referral coordination. It does not fuse longitudinal EHR and wearable data to predict a future physiological event. We preserve its interface and safety lessons but do not mislabel it as a digital twin.</w:t>
      </w:r>
    </w:p>
    <w:p>
      <w:pPr>
        <w:pStyle w:val="Heading2"/>
      </w:pPr>
      <w:r>
        <w:t>3. What exact event do you predict?</w:t>
      </w:r>
    </w:p>
    <w:p>
      <w:r>
        <w:t>Among windows where the current CGM is at or below 180 mg/dL, we predict whether any of the next four 15-minute CGM readings will exceed 180 mg/dL within 60 minutes. The label and exclusions must be implemented and documented exactly.</w:t>
      </w:r>
    </w:p>
    <w:p>
      <w:pPr>
        <w:pStyle w:val="Heading2"/>
      </w:pPr>
      <w:r>
        <w:t>4. Why 180 mg/dL?</w:t>
      </w:r>
    </w:p>
    <w:p>
      <w:r>
        <w:t>It is the upper bound of the usual CGM target range for many people with diabetes in international consensus guidance. Here it is a monitoring reference, not a diagnosis or emergency threshold.</w:t>
      </w:r>
    </w:p>
    <w:p>
      <w:pPr>
        <w:pStyle w:val="Heading2"/>
      </w:pPr>
      <w:r>
        <w:t>5. Why Type 2 diabetes?</w:t>
      </w:r>
    </w:p>
    <w:p>
      <w:r>
        <w:t>It is a chronic condition named in the challenge and relevant to India. The primary dataset contains 100 T2D participants, but it was collected in China; Indian-population validity is not claimed.</w:t>
      </w:r>
    </w:p>
    <w:p>
      <w:pPr>
        <w:pStyle w:val="Heading2"/>
      </w:pPr>
      <w:r>
        <w:t>6. How do you know the EHR and CGM belong to the same person?</w:t>
      </w:r>
    </w:p>
    <w:p>
      <w:r>
        <w:t>The primary dataset provides patient-level clinical summary data and CGM recordings under its own patient identifiers. We join only on that documented identifier and never join unrelated datasets by assumption.</w:t>
      </w:r>
    </w:p>
    <w:p>
      <w:pPr>
        <w:pStyle w:val="Heading2"/>
      </w:pPr>
      <w:r>
        <w:t>7. Is this a full EHR?</w:t>
      </w:r>
    </w:p>
    <w:p>
      <w:r>
        <w:t>No. It is a research dataset with clinical characteristics, laboratory measures, medication history, dietary records and CGM. We describe it as an EHR-like historical clinical profile, not a complete hospital EHR.</w:t>
      </w:r>
    </w:p>
    <w:p>
      <w:pPr>
        <w:pStyle w:val="Heading2"/>
      </w:pPr>
      <w:r>
        <w:t>8. Why not use MIMIC-IV?</w:t>
      </w:r>
    </w:p>
    <w:p>
      <w:r>
        <w:t>MIMIC-IV has rich clinical data but requires credentialing and a data-use agreement. ShanghaiT2DM is publicly available under CC BY 4.0 and directly pairs T2D clinical summaries with CGM, making it more feasible for this scoped PoC.</w:t>
      </w:r>
    </w:p>
    <w:p>
      <w:pPr>
        <w:pStyle w:val="Heading2"/>
      </w:pPr>
      <w:r>
        <w:t>9. Why not just use CGM history?</w:t>
      </w:r>
    </w:p>
    <w:p>
      <w:r>
        <w:t>CGM-only is a required baseline. Static clinical context and meal/medication events are hypothesized to add value, but only the ablation experiment can demonstrate whether fusion improves performance.</w:t>
      </w:r>
    </w:p>
    <w:p>
      <w:pPr>
        <w:pStyle w:val="Heading2"/>
      </w:pPr>
      <w:r>
        <w:t>10. Why not use an LLM?</w:t>
      </w:r>
    </w:p>
    <w:p>
      <w:r>
        <w:t>The target is structured time-series forecasting. Logistic regression and XGBoost are faster, more reproducible and easier to benchmark. An LLM is not justified unless it improves measured performance or a clearly scoped explanation task.</w:t>
      </w:r>
    </w:p>
    <w:p>
      <w:pPr>
        <w:pStyle w:val="Heading2"/>
      </w:pPr>
      <w:r>
        <w:t>11. How do you prevent data leakage?</w:t>
      </w:r>
    </w:p>
    <w:p>
      <w:r>
        <w:t>Split by patient ID before windowing/model fitting; keep all recordings for a patient in one split; use only past readings and events; fit imputation/scaling on training data; select thresholds on validation patients only.</w:t>
      </w:r>
    </w:p>
    <w:p>
      <w:pPr>
        <w:pStyle w:val="Heading2"/>
      </w:pPr>
      <w:r>
        <w:t>12. Why is patient-level splitting important?</w:t>
      </w:r>
    </w:p>
    <w:p>
      <w:r>
        <w:t>Adjacent CGM windows from the same person are highly correlated. A random window split can place nearly identical windows in both train and test, overstating generalization.</w:t>
      </w:r>
    </w:p>
    <w:p>
      <w:pPr>
        <w:pStyle w:val="Heading2"/>
      </w:pPr>
      <w:r>
        <w:t>13. What if data are missing?</w:t>
      </w:r>
    </w:p>
    <w:p>
      <w:r>
        <w:t>Report missingness, avoid imputing across long gaps, display a stale/incomplete-data warning, and abstain if the required lookback is unavailable. Missing meal logs do not mean no meal occurred.</w:t>
      </w:r>
    </w:p>
    <w:p>
      <w:pPr>
        <w:pStyle w:val="Heading2"/>
      </w:pPr>
      <w:r>
        <w:t>14. How do you handle 15-minute sampling?</w:t>
      </w:r>
    </w:p>
    <w:p>
      <w:r>
        <w:t>Use the native interval and define the future horizon as the next four observations. Do not treat interpolated points as independent measurements. Document irregular intervals and missing readings.</w:t>
      </w:r>
    </w:p>
    <w:p>
      <w:pPr>
        <w:pStyle w:val="Heading2"/>
      </w:pPr>
      <w:r>
        <w:t>15. How are meals and medication aligned?</w:t>
      </w:r>
    </w:p>
    <w:p>
      <w:r>
        <w:t>Use only events with timestamps at or before the prediction time. Record event-time uncertainty and missing logs; do not infer that an unrecorded event did not happen.</w:t>
      </w:r>
    </w:p>
    <w:p>
      <w:pPr>
        <w:pStyle w:val="Heading2"/>
      </w:pPr>
      <w:r>
        <w:t>16. What metrics will you report?</w:t>
      </w:r>
    </w:p>
    <w:p>
      <w:r>
        <w:t>AUROC, AUPRC, sensitivity, specificity, precision/recall, calibration such as Brier score, false alerts per patient-day, lead time, and per-patient performance. No result should be reported until it is reproduced.</w:t>
      </w:r>
    </w:p>
    <w:p>
      <w:pPr>
        <w:pStyle w:val="Heading2"/>
      </w:pPr>
      <w:r>
        <w:t>17. How will you calibrate probabilities?</w:t>
      </w:r>
    </w:p>
    <w:p>
      <w:r>
        <w:t>Fit calibration using validation patients only, compare reliability plots and Brier score, then freeze the threshold before final test evaluation. If calibration is poor, display that limitation or avoid probability language.</w:t>
      </w:r>
    </w:p>
    <w:p>
      <w:pPr>
        <w:pStyle w:val="Heading2"/>
      </w:pPr>
      <w:r>
        <w:t>18. What about false alarms?</w:t>
      </w:r>
    </w:p>
    <w:p>
      <w:r>
        <w:t>Report false alerts per patient-day and sensitivity at a declared alert threshold. A high AUROC alone is insufficient; the threshold should be chosen on validation data and evaluated on held-out patients.</w:t>
      </w:r>
    </w:p>
    <w:p>
      <w:pPr>
        <w:pStyle w:val="Heading2"/>
      </w:pPr>
      <w:r>
        <w:t>19. Does personalization help?</w:t>
      </w:r>
    </w:p>
    <w:p>
      <w:r>
        <w:t>It is a hypothesis. Compare population-level and patient-adapted approaches only if the data support a valid calibration period for each held-out patient. Do not use test-period data to personalize retrospectively.</w:t>
      </w:r>
    </w:p>
    <w:p>
      <w:pPr>
        <w:pStyle w:val="Heading2"/>
      </w:pPr>
      <w:r>
        <w:t>20. What is the novelty?</w:t>
      </w:r>
    </w:p>
    <w:p>
      <w:r>
        <w:t>Not a new glucose-forecasting algorithm. The proposed engineering contribution is a reproducible stateful workflow with matched clinical context, event alignment, explicit freshness/abstention, patient-level evaluation and fusion ablation.</w:t>
      </w:r>
    </w:p>
    <w:p>
      <w:pPr>
        <w:pStyle w:val="Heading2"/>
      </w:pPr>
      <w:r>
        <w:t>21. What existing work is closest?</w:t>
      </w:r>
    </w:p>
    <w:p>
      <w:r>
        <w:t>ShanghaiT2DM and CGMacros datasets, DiaTrend, published 60-minute CGM forecasting studies, and recent interpretable forecasting work on ShanghaiT2DM are closely relevant. They show this is an established research area.</w:t>
      </w:r>
    </w:p>
    <w:p>
      <w:pPr>
        <w:pStyle w:val="Heading2"/>
      </w:pPr>
      <w:r>
        <w:t>22. How does this differ from the 2026 ShanghaiT2DM forecasting paper?</w:t>
      </w:r>
    </w:p>
    <w:p>
      <w:r>
        <w:t>That paper directly overlaps the dataset and forecasting task. Our proposed distinction is a new-onset event label, strict patient-level split, meal/medication timeline, data-freshness/abstention behavior, and doctor-facing state history. We must verify these contributions through implementation.</w:t>
      </w:r>
    </w:p>
    <w:p>
      <w:pPr>
        <w:pStyle w:val="Heading2"/>
      </w:pPr>
      <w:r>
        <w:t>23. Can synthetic data validate the model?</w:t>
      </w:r>
    </w:p>
    <w:p>
      <w:r>
        <w:t>Synthetic data can test software plumbing and edge cases. It cannot establish clinical predictive performance when labels are generated from the same rule used to create the data. Clinical claims require real held-out data and later external/prospective validation.</w:t>
      </w:r>
    </w:p>
    <w:p>
      <w:pPr>
        <w:pStyle w:val="Heading2"/>
      </w:pPr>
      <w:r>
        <w:t>24. What about privacy and licences?</w:t>
      </w:r>
    </w:p>
    <w:p>
      <w:r>
        <w:t>Use the dataset under its stated CC BY 4.0 licence and cite it. Do not include direct identifiers or secrets. Use synthetic names in UI screenshots, include code licence and data attribution separately, and verify all data-use terms.</w:t>
      </w:r>
    </w:p>
    <w:p>
      <w:pPr>
        <w:pStyle w:val="Heading2"/>
      </w:pPr>
      <w:r>
        <w:t>25. Is the system safe for clinical use?</w:t>
      </w:r>
    </w:p>
    <w:p>
      <w:r>
        <w:t>No. It is a research PoC and not a clinically validated medical device. It does not diagnose, prescribe, recommend insulin doses or independently act. Human clinical judgment remains in control.</w:t>
      </w:r>
    </w:p>
    <w:p>
      <w:pPr>
        <w:pStyle w:val="Heading2"/>
      </w:pPr>
      <w:r>
        <w:t>26. What happens if the model misses an excursion?</w:t>
      </w:r>
    </w:p>
    <w:p>
      <w:r>
        <w:t>False negatives are a known limitation. The dashboard should not imply that a low prediction means the patient is safe. Performance, sensitivity, calibration and limitations must be visible.</w:t>
      </w:r>
    </w:p>
    <w:p>
      <w:pPr>
        <w:pStyle w:val="Heading2"/>
      </w:pPr>
      <w:r>
        <w:t>27. How do you handle distribution shift?</w:t>
      </w:r>
    </w:p>
    <w:p>
      <w:r>
        <w:t>The dataset is a Chinese cohort and sensor/context patterns may differ elsewhere. Show this limitation, evaluate by subgroup where possible, and require external validation in an Indian cohort before generalizing.</w:t>
      </w:r>
    </w:p>
    <w:p>
      <w:pPr>
        <w:pStyle w:val="Heading2"/>
      </w:pPr>
      <w:r>
        <w:t>28. What is actually implemented today?</w:t>
      </w:r>
    </w:p>
    <w:p>
      <w:r>
        <w:t>From the supplied files, the old Matri-Kavach deck and two documents are present; no source code, trained model, evaluation results or running app were supplied. We must update this answer only with verifiable implementation evidence.</w:t>
      </w:r>
    </w:p>
    <w:p>
      <w:pPr>
        <w:pStyle w:val="Heading2"/>
      </w:pPr>
      <w:r>
        <w:t>29. Can a judge reproduce the results?</w:t>
      </w:r>
    </w:p>
    <w:p>
      <w:r>
        <w:t>The repository should include environment/dependencies, data acquisition instructions, label definition, split manifest, training/evaluation scripts, tests, versioned metrics, architecture and known limitations. If results cannot be reproduced, they should not be presented as validated.</w:t>
      </w:r>
    </w:p>
    <w:p>
      <w:pPr>
        <w:pStyle w:val="Heading2"/>
      </w:pPr>
      <w:r>
        <w:t>30. What is needed before clinical deployment?</w:t>
      </w:r>
    </w:p>
    <w:p>
      <w:r>
        <w:t>External validation in a representative Indian population, prospective evaluation, clinician workflow studies, appropriate ethics and data-protection approvals, risk management, calibration monitoring, regulatory review where applicable, and evidence that alerts improve decisions without unacceptable harm.</w:t>
      </w:r>
    </w:p>
    <w:p>
      <w:pPr>
        <w:pStyle w:val="Heading2"/>
      </w:pPr>
      <w:r>
        <w:t>31. What if fusion does not improve performance?</w:t>
      </w:r>
    </w:p>
    <w:p>
      <w:r>
        <w:t>Report the result honestly. Keep the simpler model if it performs as well or better; the challenge is about a credible digital twin, not forcing a multimodal model to look superior.</w:t>
      </w:r>
    </w:p>
    <w:p>
      <w:pPr>
        <w:pStyle w:val="Heading2"/>
      </w:pPr>
      <w:r>
        <w:t>32. Why not claim reduced complications or better outcomes?</w:t>
      </w:r>
    </w:p>
    <w:p>
      <w:r>
        <w:t>The proposed experiment forecasts a short-horizon CGM threshold crossing. It does not test treatment decisions, complication rates or patient outcomes. Those claims would require separate clinical evidence.</w:t>
      </w:r>
    </w:p>
    <w:p>
      <w:pPr>
        <w:pStyle w:val="Heading1"/>
      </w:pPr>
      <w:r>
        <w:t>14. Sources and citations</w:t>
      </w:r>
    </w:p>
    <w:p>
      <w:pPr>
        <w:pStyle w:val="ListBullet"/>
      </w:pPr>
      <w:r>
        <w:rPr>
          <w:b/>
        </w:rPr>
        <w:t xml:space="preserve">Official Digital Twin Challenge 2026 listing (Unstop / Happiest Health) — </w:t>
      </w:r>
      <w:r>
        <w:t>https://unstop.com/hackathons/crp-digital-twin-challenge-2026-happiest-health-1757873 — Challenge definition, eligibility, team size, two-stream requirement, repository fields, 20-minute video, dates, shortlist ambiguity and prizes.</w:t>
      </w:r>
    </w:p>
    <w:p>
      <w:pPr>
        <w:pStyle w:val="ListBullet"/>
      </w:pPr>
      <w:r>
        <w:rPr>
          <w:b/>
        </w:rPr>
        <w:t xml:space="preserve">Zhao et al. (2023), Chinese diabetes datasets for data-driven machine learning, Scientific Data — </w:t>
      </w:r>
      <w:r>
        <w:t>https://www.nature.com/articles/s41597-023-01940-7 — ShanghaiT2DM: 100 Type 2 diabetes patients, 15-minute CGM, clinical characteristics/labs/medications/diet.</w:t>
      </w:r>
    </w:p>
    <w:p>
      <w:pPr>
        <w:pStyle w:val="ListBullet"/>
      </w:pPr>
      <w:r>
        <w:rPr>
          <w:b/>
        </w:rPr>
        <w:t xml:space="preserve">Shanghai diabetes dataset collection, Figshare — </w:t>
      </w:r>
      <w:r>
        <w:t>https://figshare.com/collections/Diabetes_Datasets_ShanghaiT1DM_and_ShanghaiT2DM/6310860 — Dataset download and CC BY 4.0 licence.</w:t>
      </w:r>
    </w:p>
    <w:p>
      <w:pPr>
        <w:pStyle w:val="ListBullet"/>
      </w:pPr>
      <w:r>
        <w:rPr>
          <w:b/>
        </w:rPr>
        <w:t xml:space="preserve">Das et al. (2025), CGMacros, Scientific Data — </w:t>
      </w:r>
      <w:r>
        <w:t>https://www.nature.com/articles/s41597-025-05851-7 — 45 participants, CGM + Fitbit + meals + clinical measurements; 14 T2D.</w:t>
      </w:r>
    </w:p>
    <w:p>
      <w:pPr>
        <w:pStyle w:val="ListBullet"/>
      </w:pPr>
      <w:r>
        <w:rPr>
          <w:b/>
        </w:rPr>
        <w:t xml:space="preserve">CGMacros on PhysioNet — </w:t>
      </w:r>
      <w:r>
        <w:t>https://physionet.org/content/cgmacros/1.0.0/ — Dataset access, population and fields.</w:t>
      </w:r>
    </w:p>
    <w:p>
      <w:pPr>
        <w:pStyle w:val="ListBullet"/>
      </w:pPr>
      <w:r>
        <w:rPr>
          <w:b/>
        </w:rPr>
        <w:t xml:space="preserve">Prioleau et al. (2023), DiaTrend, Scientific Data — </w:t>
      </w:r>
      <w:r>
        <w:t>https://www.nature.com/articles/s41597-023-02469-5 — 54 Type 1 diabetes participants, CGM and pump data; controlled access.</w:t>
      </w:r>
    </w:p>
    <w:p>
      <w:pPr>
        <w:pStyle w:val="ListBullet"/>
      </w:pPr>
      <w:r>
        <w:rPr>
          <w:b/>
        </w:rPr>
        <w:t xml:space="preserve">Glucose-ML project — </w:t>
      </w:r>
      <w:r>
        <w:t>https://github.com/Augmented-Health-Lab/Glucose-ML-Project — CGM dataset discovery and harmonization tools.</w:t>
      </w:r>
    </w:p>
    <w:p>
      <w:pPr>
        <w:pStyle w:val="ListBullet"/>
      </w:pPr>
      <w:r>
        <w:rPr>
          <w:b/>
        </w:rPr>
        <w:t xml:space="preserve">Thomsen et al. (2025), 60-minute CGM predictions and fairness, PLOS Digital Health — </w:t>
      </w:r>
      <w:r>
        <w:t>https://journals.plos.org/digitalhealth/article?id=10.1371/journal.pdig.0000918 — Published CGM forecasting and the importance of demographic composition/personalization.</w:t>
      </w:r>
    </w:p>
    <w:p>
      <w:pPr>
        <w:pStyle w:val="ListBullet"/>
      </w:pPr>
      <w:r>
        <w:rPr>
          <w:b/>
        </w:rPr>
        <w:t xml:space="preserve">Cobelli &amp; Kovatchev (2023), UVA/Padova simulator review — </w:t>
      </w:r>
      <w:r>
        <w:t>https://journals.sagepub.com/doi/10.1177/19322968231195081 — Established physiological simulation for T1D / artificial-pancreas research.</w:t>
      </w:r>
    </w:p>
    <w:p>
      <w:pPr>
        <w:pStyle w:val="ListBullet"/>
      </w:pPr>
      <w:r>
        <w:rPr>
          <w:b/>
        </w:rPr>
        <w:t xml:space="preserve">International Consensus on CGM Targets, Diabetes Care (2019) — </w:t>
      </w:r>
      <w:r>
        <w:t>https://diabetesjournals.org/care/article/42/8/1593/36184/Clinical-Targets-for-Continuous-Glucose-Monitoring — Common target range 70–180 mg/dL.</w:t>
      </w:r>
    </w:p>
    <w:p>
      <w:pPr>
        <w:pStyle w:val="ListBullet"/>
      </w:pPr>
      <w:r>
        <w:rPr>
          <w:b/>
        </w:rPr>
        <w:t xml:space="preserve">Synthea synthetic patient generator — </w:t>
      </w:r>
      <w:r>
        <w:t>https://github.com/synthetichealth/synthea — Synthetic EHR fallback; does not provide matched CGM by itself.</w:t>
      </w:r>
    </w:p>
    <w:p>
      <w:pPr>
        <w:pStyle w:val="Heading1"/>
      </w:pPr>
      <w:r>
        <w:t>Final stance</w:t>
      </w:r>
    </w:p>
    <w:p>
      <w:r>
        <w:t>The strongest submission is the one that proves the two-stream data fusion, a patient-state update, a defined future event, and reproducible held-out patient evaluation. The old Matri-Kavach deck is not competition-aligned as-is. GlucoTwin is the recommended pivot because it uses a real, matched Type 2 diabetes clinical + CGM dataset and can be evaluated without inventing a synthetic patient match. The current deliverables are a revised presentation, a 20+ minute script, a separate architecture diagram, and this research/compliance pack; a working model and measured results still must be verified or built before making implementation claims.</w:t>
      </w:r>
    </w:p>
    <w:p>
      <w:pPr>
        <w:pStyle w:val="ListBullet"/>
      </w:pPr>
      <w:r>
        <w:t>Interpretable glucose forecasting for type 2 diabetes across traditional, deep, and large language models, Scientific Reports (2026) — https://www.nature.com/articles/s41598-025-32373-4 — directly relevant prior art using ShanghaiT2DM; compare methods cautiously because published evaluation setup differs from a strict patient-level split.</w:t>
      </w:r>
    </w:p>
    <w:p>
      <w:pPr>
        <w:pStyle w:val="Heading1"/>
      </w:pPr>
      <w:r>
        <w:t>Team details supplied by the team</w:t>
      </w:r>
    </w:p>
    <w:p>
      <w:r>
        <w:t>Team leader: Manas Girdhar — BIT Mesra</w:t>
      </w:r>
    </w:p>
    <w:p>
      <w:r>
        <w:t>Team member: Moulvi Gufran — GMC Vizianagaram</w:t>
      </w:r>
    </w:p>
    <w:p>
      <w:r>
        <w:t>Institution affiliations: BIT Mesra (Manas Girdhar) and GMC Vizianagaram (Moulvi Gufran).</w:t>
      </w:r>
    </w:p>
    <w:p>
      <w:r>
        <w:t>Registered team roster: verify these exact names, roles, and institution spellings match the Unstop registration.</w:t>
      </w:r>
    </w:p>
    <w:sectPr w:rsidR="00FC693F" w:rsidRPr="0006063C" w:rsidSect="00034616">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