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3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3"/>
        <w:gridCol w:w="1519"/>
        <w:gridCol w:w="6936"/>
      </w:tblGrid>
      <w:tr w:rsidR="00C912FF" w:rsidRPr="007144EA" w:rsidTr="00A52B5D">
        <w:tc>
          <w:tcPr>
            <w:tcW w:w="1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12FF" w:rsidRPr="007144EA" w:rsidRDefault="00C912FF" w:rsidP="00B7075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E" w:eastAsia="en-IN"/>
              </w:rPr>
              <w:t>Properties</w:t>
            </w:r>
          </w:p>
        </w:tc>
        <w:tc>
          <w:tcPr>
            <w:tcW w:w="1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12FF" w:rsidRPr="007144EA" w:rsidRDefault="00C912FF" w:rsidP="00B7075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E" w:eastAsia="en-IN"/>
              </w:rPr>
              <w:t>Values</w:t>
            </w:r>
          </w:p>
        </w:tc>
        <w:tc>
          <w:tcPr>
            <w:tcW w:w="6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12FF" w:rsidRPr="007144EA" w:rsidRDefault="00C912FF" w:rsidP="00B7075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E" w:eastAsia="en-IN"/>
              </w:rPr>
              <w:t>Description</w:t>
            </w:r>
          </w:p>
        </w:tc>
      </w:tr>
      <w:tr w:rsidR="00C912FF" w:rsidRPr="007144EA" w:rsidTr="00A52B5D">
        <w:tc>
          <w:tcPr>
            <w:tcW w:w="1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12FF" w:rsidRPr="007144EA" w:rsidRDefault="00C912FF" w:rsidP="00B7075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position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12FF" w:rsidRPr="007144EA" w:rsidRDefault="00C912FF" w:rsidP="00B70755">
            <w:pPr>
              <w:autoSpaceDN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</w:t>
            </w:r>
          </w:p>
          <w:p w:rsidR="00C912FF" w:rsidRPr="007144EA" w:rsidRDefault="00C912FF" w:rsidP="00B70755">
            <w:pPr>
              <w:autoSpaceDN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relative</w:t>
            </w:r>
          </w:p>
          <w:p w:rsidR="00C912FF" w:rsidRPr="007144EA" w:rsidRDefault="00C912FF" w:rsidP="00B70755">
            <w:pPr>
              <w:autoSpaceDN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fixed</w:t>
            </w:r>
          </w:p>
          <w:p w:rsidR="00C912FF" w:rsidRPr="007144EA" w:rsidRDefault="00C912FF" w:rsidP="00B70755">
            <w:pPr>
              <w:autoSpaceDN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absolute</w:t>
            </w:r>
          </w:p>
          <w:p w:rsidR="00C912FF" w:rsidRPr="007144EA" w:rsidRDefault="00C912FF" w:rsidP="00B70755">
            <w:pPr>
              <w:autoSpaceDN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sticky</w:t>
            </w:r>
          </w:p>
        </w:tc>
        <w:tc>
          <w:tcPr>
            <w:tcW w:w="6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12FF" w:rsidRPr="007144EA" w:rsidRDefault="00C912FF" w:rsidP="00B7075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Specifies the type of positioning method used for an element.</w:t>
            </w:r>
          </w:p>
        </w:tc>
      </w:tr>
      <w:tr w:rsidR="00C912FF" w:rsidRPr="007144EA" w:rsidTr="00A52B5D">
        <w:tc>
          <w:tcPr>
            <w:tcW w:w="1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12FF" w:rsidRPr="007144EA" w:rsidRDefault="00C912FF" w:rsidP="00B7075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overflow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12FF" w:rsidRPr="007144EA" w:rsidRDefault="00C912FF" w:rsidP="00B7075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visible</w:t>
            </w:r>
          </w:p>
          <w:p w:rsidR="00C912FF" w:rsidRPr="007144EA" w:rsidRDefault="00C912FF" w:rsidP="00B7075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hidden</w:t>
            </w:r>
          </w:p>
          <w:p w:rsidR="00C912FF" w:rsidRPr="007144EA" w:rsidRDefault="00C912FF" w:rsidP="00B7075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 xml:space="preserve">scroll </w:t>
            </w:r>
          </w:p>
          <w:p w:rsidR="00C912FF" w:rsidRPr="007144EA" w:rsidRDefault="00C912FF" w:rsidP="00B7075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auto</w:t>
            </w:r>
          </w:p>
        </w:tc>
        <w:tc>
          <w:tcPr>
            <w:tcW w:w="6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12FF" w:rsidRPr="007144EA" w:rsidRDefault="00C912FF" w:rsidP="00B7075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Add scrollbars when the content of an element is too big to fit in the specified area.</w:t>
            </w:r>
          </w:p>
        </w:tc>
      </w:tr>
      <w:tr w:rsidR="00C912FF" w:rsidRPr="007144EA" w:rsidTr="00A52B5D">
        <w:tc>
          <w:tcPr>
            <w:tcW w:w="1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12FF" w:rsidRPr="007144EA" w:rsidRDefault="00C912FF" w:rsidP="00B7075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float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12FF" w:rsidRPr="007144EA" w:rsidRDefault="00C912FF" w:rsidP="00B7075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left</w:t>
            </w:r>
          </w:p>
          <w:p w:rsidR="00C912FF" w:rsidRPr="007144EA" w:rsidRDefault="00C912FF" w:rsidP="00B7075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right</w:t>
            </w:r>
          </w:p>
          <w:p w:rsidR="00C912FF" w:rsidRPr="007144EA" w:rsidRDefault="00C912FF" w:rsidP="00B7075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inherit</w:t>
            </w:r>
          </w:p>
          <w:p w:rsidR="00C912FF" w:rsidRPr="007144EA" w:rsidRDefault="00C912FF" w:rsidP="00B7075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none</w:t>
            </w:r>
          </w:p>
        </w:tc>
        <w:tc>
          <w:tcPr>
            <w:tcW w:w="6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12FF" w:rsidRPr="007144EA" w:rsidRDefault="00C912FF" w:rsidP="00B7075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Used for positioning and formatting content</w:t>
            </w:r>
          </w:p>
        </w:tc>
      </w:tr>
      <w:tr w:rsidR="00C912FF" w:rsidRPr="007144EA" w:rsidTr="00A52B5D">
        <w:tc>
          <w:tcPr>
            <w:tcW w:w="1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12FF" w:rsidRPr="007144EA" w:rsidRDefault="00C912FF" w:rsidP="00B7075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display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12FF" w:rsidRPr="007144EA" w:rsidRDefault="00C912FF" w:rsidP="00B7075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none</w:t>
            </w:r>
          </w:p>
          <w:p w:rsidR="00C912FF" w:rsidRPr="007144EA" w:rsidRDefault="00C912FF" w:rsidP="00B7075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block</w:t>
            </w:r>
          </w:p>
          <w:p w:rsidR="00C912FF" w:rsidRPr="007144EA" w:rsidRDefault="00C912FF" w:rsidP="00B7075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inline</w:t>
            </w:r>
          </w:p>
          <w:p w:rsidR="00C912FF" w:rsidRPr="007144EA" w:rsidRDefault="00C912FF" w:rsidP="00B7075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inline-block</w:t>
            </w:r>
          </w:p>
        </w:tc>
        <w:tc>
          <w:tcPr>
            <w:tcW w:w="6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12FF" w:rsidRPr="007144EA" w:rsidRDefault="00C912FF" w:rsidP="00B7075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specifies how an element is displayed</w:t>
            </w:r>
          </w:p>
        </w:tc>
      </w:tr>
      <w:tr w:rsidR="00C912FF" w:rsidRPr="007144EA" w:rsidTr="00A52B5D">
        <w:tc>
          <w:tcPr>
            <w:tcW w:w="1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12FF" w:rsidRPr="007144EA" w:rsidRDefault="00C912FF" w:rsidP="00B7075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list-style-type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12FF" w:rsidRPr="007144EA" w:rsidRDefault="00C912FF" w:rsidP="00B7075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none</w:t>
            </w:r>
          </w:p>
        </w:tc>
        <w:tc>
          <w:tcPr>
            <w:tcW w:w="6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12FF" w:rsidRPr="007144EA" w:rsidRDefault="00C912FF" w:rsidP="00B7075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specifies the type of list item marker</w:t>
            </w:r>
          </w:p>
        </w:tc>
      </w:tr>
      <w:tr w:rsidR="00C912FF" w:rsidRPr="007144EA" w:rsidTr="00A52B5D">
        <w:tc>
          <w:tcPr>
            <w:tcW w:w="1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12FF" w:rsidRPr="007144EA" w:rsidRDefault="00C912FF" w:rsidP="00B7075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z-index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12FF" w:rsidRPr="007144EA" w:rsidRDefault="00C912FF" w:rsidP="00B7075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number</w:t>
            </w:r>
          </w:p>
        </w:tc>
        <w:tc>
          <w:tcPr>
            <w:tcW w:w="6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12FF" w:rsidRPr="007144EA" w:rsidRDefault="00C912FF" w:rsidP="00B7075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 xml:space="preserve">Specifies the stack order of an element. </w:t>
            </w:r>
          </w:p>
          <w:p w:rsidR="00C912FF" w:rsidRPr="007144EA" w:rsidRDefault="00C912FF" w:rsidP="00B7075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E</w:t>
            </w:r>
            <w:proofErr w:type="spellStart"/>
            <w:r w:rsidRPr="007144EA">
              <w:rPr>
                <w:rFonts w:ascii="Times New Roman" w:hAnsi="Times New Roman" w:cs="Times New Roman"/>
                <w:sz w:val="24"/>
                <w:szCs w:val="24"/>
              </w:rPr>
              <w:t>lement</w:t>
            </w:r>
            <w:proofErr w:type="spellEnd"/>
            <w:r w:rsidRPr="007144EA">
              <w:rPr>
                <w:rFonts w:ascii="Times New Roman" w:hAnsi="Times New Roman" w:cs="Times New Roman"/>
                <w:sz w:val="24"/>
                <w:szCs w:val="24"/>
              </w:rPr>
              <w:t xml:space="preserve"> with greater stack order is always in front of an element with a lower stack order</w:t>
            </w:r>
          </w:p>
        </w:tc>
      </w:tr>
      <w:tr w:rsidR="00C912FF" w:rsidRPr="007144EA" w:rsidTr="00A52B5D">
        <w:tc>
          <w:tcPr>
            <w:tcW w:w="1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12FF" w:rsidRPr="007144EA" w:rsidRDefault="00C912FF" w:rsidP="00B7075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padding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12FF" w:rsidRPr="007144EA" w:rsidRDefault="00C912FF" w:rsidP="00B7075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padding-top</w:t>
            </w:r>
          </w:p>
          <w:p w:rsidR="00C912FF" w:rsidRPr="007144EA" w:rsidRDefault="00C912FF" w:rsidP="00B7075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padding-right</w:t>
            </w:r>
          </w:p>
          <w:p w:rsidR="00C912FF" w:rsidRPr="007144EA" w:rsidRDefault="00C912FF" w:rsidP="00B7075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padding-bottom</w:t>
            </w:r>
          </w:p>
          <w:p w:rsidR="00C912FF" w:rsidRPr="007144EA" w:rsidRDefault="00C912FF" w:rsidP="00B7075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padding-left</w:t>
            </w:r>
          </w:p>
        </w:tc>
        <w:tc>
          <w:tcPr>
            <w:tcW w:w="6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12FF" w:rsidRPr="007144EA" w:rsidRDefault="00C912FF" w:rsidP="00B7075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generate space around an element's content</w:t>
            </w:r>
          </w:p>
        </w:tc>
      </w:tr>
      <w:tr w:rsidR="00C912FF" w:rsidRPr="007144EA" w:rsidTr="00A52B5D">
        <w:tc>
          <w:tcPr>
            <w:tcW w:w="1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12FF" w:rsidRPr="007144EA" w:rsidRDefault="00C912FF" w:rsidP="00B7075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border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12FF" w:rsidRPr="007144EA" w:rsidRDefault="00C912FF" w:rsidP="00B7075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dotted</w:t>
            </w:r>
          </w:p>
          <w:p w:rsidR="00C912FF" w:rsidRPr="007144EA" w:rsidRDefault="00C912FF" w:rsidP="00B7075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dashed</w:t>
            </w:r>
          </w:p>
          <w:p w:rsidR="00C912FF" w:rsidRPr="007144EA" w:rsidRDefault="00C912FF" w:rsidP="00B7075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solid</w:t>
            </w:r>
          </w:p>
          <w:p w:rsidR="00C912FF" w:rsidRPr="007144EA" w:rsidRDefault="00C912FF" w:rsidP="00B7075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none</w:t>
            </w:r>
          </w:p>
        </w:tc>
        <w:tc>
          <w:tcPr>
            <w:tcW w:w="6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12FF" w:rsidRPr="007144EA" w:rsidRDefault="00C912FF" w:rsidP="00B7075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 xml:space="preserve">Specify the style, width, and </w:t>
            </w:r>
            <w:proofErr w:type="spellStart"/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color</w:t>
            </w:r>
            <w:proofErr w:type="spellEnd"/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 xml:space="preserve"> of an element's border</w:t>
            </w:r>
          </w:p>
        </w:tc>
      </w:tr>
    </w:tbl>
    <w:p w:rsidR="00A605C6" w:rsidRPr="007144EA" w:rsidRDefault="00A605C6" w:rsidP="00B70755">
      <w:pPr>
        <w:rPr>
          <w:rFonts w:ascii="Times New Roman" w:hAnsi="Times New Roman" w:cs="Times New Roman"/>
          <w:sz w:val="24"/>
          <w:szCs w:val="24"/>
        </w:rPr>
      </w:pPr>
    </w:p>
    <w:p w:rsidR="00C912FF" w:rsidRPr="007144EA" w:rsidRDefault="00C912FF" w:rsidP="00B7075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6"/>
        <w:gridCol w:w="8212"/>
      </w:tblGrid>
      <w:tr w:rsidR="00C912FF" w:rsidRPr="007144EA" w:rsidTr="00086D1A">
        <w:tc>
          <w:tcPr>
            <w:tcW w:w="1526" w:type="dxa"/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12FF" w:rsidRPr="007144EA" w:rsidRDefault="00C912FF" w:rsidP="00B70755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CSS Selector</w:t>
            </w:r>
          </w:p>
        </w:tc>
        <w:tc>
          <w:tcPr>
            <w:tcW w:w="8212" w:type="dxa"/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12FF" w:rsidRPr="007144EA" w:rsidRDefault="00C912FF" w:rsidP="00B70755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Description</w:t>
            </w:r>
          </w:p>
        </w:tc>
      </w:tr>
      <w:tr w:rsidR="00C912FF" w:rsidRPr="007144EA" w:rsidTr="00C912FF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12FF" w:rsidRPr="007144EA" w:rsidRDefault="00C912FF" w:rsidP="00B7075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:hover</w:t>
            </w:r>
          </w:p>
        </w:tc>
        <w:tc>
          <w:tcPr>
            <w:tcW w:w="82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12FF" w:rsidRPr="007144EA" w:rsidRDefault="00C912FF" w:rsidP="00B7075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specifies mouse over link</w:t>
            </w:r>
          </w:p>
        </w:tc>
      </w:tr>
      <w:tr w:rsidR="00C912FF" w:rsidRPr="007144EA" w:rsidTr="00086D1A">
        <w:tc>
          <w:tcPr>
            <w:tcW w:w="1526" w:type="dxa"/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12FF" w:rsidRPr="007144EA" w:rsidRDefault="00C912FF" w:rsidP="00B7075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:link</w:t>
            </w:r>
          </w:p>
        </w:tc>
        <w:tc>
          <w:tcPr>
            <w:tcW w:w="8212" w:type="dxa"/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12FF" w:rsidRPr="007144EA" w:rsidRDefault="00C912FF" w:rsidP="00B7075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specifies unvisited link</w:t>
            </w:r>
          </w:p>
        </w:tc>
      </w:tr>
      <w:tr w:rsidR="00C912FF" w:rsidRPr="007144EA" w:rsidTr="00C912FF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12FF" w:rsidRPr="007144EA" w:rsidRDefault="00C912FF" w:rsidP="00B7075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:visited</w:t>
            </w:r>
          </w:p>
        </w:tc>
        <w:tc>
          <w:tcPr>
            <w:tcW w:w="82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12FF" w:rsidRPr="007144EA" w:rsidRDefault="00C912FF" w:rsidP="00B7075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specifies visited link</w:t>
            </w:r>
          </w:p>
        </w:tc>
      </w:tr>
      <w:tr w:rsidR="00C912FF" w:rsidRPr="007144EA" w:rsidTr="00086D1A">
        <w:tc>
          <w:tcPr>
            <w:tcW w:w="1526" w:type="dxa"/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12FF" w:rsidRPr="007144EA" w:rsidRDefault="00C912FF" w:rsidP="00B7075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:active </w:t>
            </w:r>
          </w:p>
        </w:tc>
        <w:tc>
          <w:tcPr>
            <w:tcW w:w="8212" w:type="dxa"/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12FF" w:rsidRPr="007144EA" w:rsidRDefault="00C912FF" w:rsidP="00B7075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specifies selected link</w:t>
            </w:r>
          </w:p>
        </w:tc>
      </w:tr>
    </w:tbl>
    <w:p w:rsidR="00C912FF" w:rsidRPr="007144EA" w:rsidRDefault="00C912FF" w:rsidP="00B70755">
      <w:pPr>
        <w:rPr>
          <w:rFonts w:ascii="Times New Roman" w:hAnsi="Times New Roman" w:cs="Times New Roman"/>
          <w:sz w:val="24"/>
          <w:szCs w:val="24"/>
        </w:rPr>
      </w:pPr>
    </w:p>
    <w:p w:rsidR="0079573D" w:rsidRPr="007144EA" w:rsidRDefault="0079573D" w:rsidP="00B7075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6"/>
        <w:gridCol w:w="8212"/>
      </w:tblGrid>
      <w:tr w:rsidR="0079573D" w:rsidRPr="007144EA" w:rsidTr="00086D1A">
        <w:tc>
          <w:tcPr>
            <w:tcW w:w="1526" w:type="dxa"/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12FF" w:rsidRPr="007144EA" w:rsidRDefault="0079573D" w:rsidP="00B70755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Tags</w:t>
            </w:r>
          </w:p>
        </w:tc>
        <w:tc>
          <w:tcPr>
            <w:tcW w:w="8212" w:type="dxa"/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12FF" w:rsidRPr="007144EA" w:rsidRDefault="0079573D" w:rsidP="00B70755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7144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Description</w:t>
            </w:r>
          </w:p>
        </w:tc>
      </w:tr>
      <w:tr w:rsidR="0079573D" w:rsidRPr="007144EA" w:rsidTr="00086D1A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573D" w:rsidRPr="007144EA" w:rsidRDefault="00086D1A" w:rsidP="00B7075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&lt;</w:t>
            </w:r>
            <w:r w:rsidRPr="007144EA">
              <w:rPr>
                <w:rStyle w:val="tagnamecolor"/>
                <w:rFonts w:ascii="Times New Roman" w:hAnsi="Times New Roman" w:cs="Times New Roman"/>
                <w:color w:val="A52A2A"/>
                <w:sz w:val="24"/>
                <w:szCs w:val="24"/>
              </w:rPr>
              <w:t>div</w:t>
            </w: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&gt;</w:t>
            </w:r>
          </w:p>
        </w:tc>
        <w:tc>
          <w:tcPr>
            <w:tcW w:w="82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573D" w:rsidRPr="007144EA" w:rsidRDefault="00086D1A" w:rsidP="00B7075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</w:pPr>
            <w:r w:rsidRPr="007144EA">
              <w:rPr>
                <w:rFonts w:ascii="Times New Roman" w:hAnsi="Times New Roman" w:cs="Times New Roman"/>
                <w:sz w:val="24"/>
                <w:szCs w:val="24"/>
              </w:rPr>
              <w:t>Specifies a division or a section in an HTML document</w:t>
            </w:r>
            <w:r w:rsidR="0005103E">
              <w:rPr>
                <w:rFonts w:ascii="Times New Roman" w:hAnsi="Times New Roman" w:cs="Times New Roman"/>
                <w:sz w:val="24"/>
                <w:szCs w:val="24"/>
              </w:rPr>
              <w:t xml:space="preserve"> – used to enclose the </w:t>
            </w:r>
            <w:proofErr w:type="spellStart"/>
            <w:r w:rsidR="0005103E">
              <w:rPr>
                <w:rFonts w:ascii="Times New Roman" w:hAnsi="Times New Roman" w:cs="Times New Roman"/>
                <w:sz w:val="24"/>
                <w:szCs w:val="24"/>
              </w:rPr>
              <w:t>menubar</w:t>
            </w:r>
            <w:proofErr w:type="spellEnd"/>
          </w:p>
        </w:tc>
      </w:tr>
      <w:tr w:rsidR="0079573D" w:rsidRPr="007144EA" w:rsidTr="00086D1A">
        <w:tc>
          <w:tcPr>
            <w:tcW w:w="1526" w:type="dxa"/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573D" w:rsidRPr="007144EA" w:rsidRDefault="00086D1A" w:rsidP="00B7075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&lt;</w:t>
            </w:r>
            <w:proofErr w:type="spellStart"/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nav</w:t>
            </w:r>
            <w:proofErr w:type="spellEnd"/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&gt;</w:t>
            </w:r>
          </w:p>
        </w:tc>
        <w:tc>
          <w:tcPr>
            <w:tcW w:w="8212" w:type="dxa"/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573D" w:rsidRPr="007144EA" w:rsidRDefault="00086D1A" w:rsidP="00B7075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</w:pPr>
            <w:r w:rsidRPr="007144EA">
              <w:rPr>
                <w:rFonts w:ascii="Times New Roman" w:hAnsi="Times New Roman" w:cs="Times New Roman"/>
                <w:sz w:val="24"/>
                <w:szCs w:val="24"/>
              </w:rPr>
              <w:t>Defines a set of navigation links.</w:t>
            </w:r>
          </w:p>
        </w:tc>
      </w:tr>
      <w:tr w:rsidR="0079573D" w:rsidRPr="007144EA" w:rsidTr="00086D1A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573D" w:rsidRPr="007144EA" w:rsidRDefault="00086D1A" w:rsidP="00B7075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&lt;</w:t>
            </w:r>
            <w:proofErr w:type="spellStart"/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ul</w:t>
            </w:r>
            <w:proofErr w:type="spellEnd"/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&gt;</w:t>
            </w:r>
            <w:r w:rsidR="00E01C9A"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, &lt;</w:t>
            </w:r>
            <w:proofErr w:type="spellStart"/>
            <w:r w:rsidR="00E01C9A"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ol</w:t>
            </w:r>
            <w:proofErr w:type="spellEnd"/>
            <w:r w:rsidR="00E01C9A"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&gt;</w:t>
            </w:r>
            <w:r w:rsidR="0005103E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 xml:space="preserve">, </w:t>
            </w:r>
            <w:r w:rsidR="0005103E" w:rsidRPr="0005103E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&lt;</w:t>
            </w:r>
            <w:proofErr w:type="spellStart"/>
            <w:r w:rsidR="0005103E" w:rsidRPr="0005103E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li</w:t>
            </w:r>
            <w:proofErr w:type="spellEnd"/>
            <w:r w:rsidR="0005103E" w:rsidRPr="0005103E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>&gt;</w:t>
            </w:r>
          </w:p>
        </w:tc>
        <w:tc>
          <w:tcPr>
            <w:tcW w:w="82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573D" w:rsidRPr="007144EA" w:rsidRDefault="00E01C9A" w:rsidP="00B7075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</w:pPr>
            <w:r w:rsidRPr="007144EA">
              <w:rPr>
                <w:rFonts w:ascii="Times New Roman" w:hAnsi="Times New Roman" w:cs="Times New Roman"/>
                <w:sz w:val="24"/>
                <w:szCs w:val="24"/>
              </w:rPr>
              <w:t xml:space="preserve">Defines a ordered or unordered  list </w:t>
            </w:r>
            <w:r w:rsidR="0005103E">
              <w:rPr>
                <w:rFonts w:ascii="Times New Roman" w:hAnsi="Times New Roman" w:cs="Times New Roman"/>
                <w:sz w:val="24"/>
                <w:szCs w:val="24"/>
              </w:rPr>
              <w:t xml:space="preserve">– used to design </w:t>
            </w:r>
            <w:proofErr w:type="spellStart"/>
            <w:r w:rsidR="0005103E">
              <w:rPr>
                <w:rFonts w:ascii="Times New Roman" w:hAnsi="Times New Roman" w:cs="Times New Roman"/>
                <w:sz w:val="24"/>
                <w:szCs w:val="24"/>
              </w:rPr>
              <w:t>menubar</w:t>
            </w:r>
            <w:proofErr w:type="spellEnd"/>
          </w:p>
        </w:tc>
      </w:tr>
      <w:tr w:rsidR="0079573D" w:rsidRPr="007144EA" w:rsidTr="00086D1A">
        <w:tc>
          <w:tcPr>
            <w:tcW w:w="1526" w:type="dxa"/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573D" w:rsidRPr="007144EA" w:rsidRDefault="00086D1A" w:rsidP="00B7075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lastRenderedPageBreak/>
              <w:t>&lt;a&gt;</w:t>
            </w:r>
          </w:p>
        </w:tc>
        <w:tc>
          <w:tcPr>
            <w:tcW w:w="8212" w:type="dxa"/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573D" w:rsidRPr="007144EA" w:rsidRDefault="00E01C9A" w:rsidP="00B7075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</w:pPr>
            <w:r w:rsidRPr="007144EA"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N"/>
              </w:rPr>
              <w:t xml:space="preserve">Specifies a </w:t>
            </w:r>
            <w:r w:rsidRPr="007144EA">
              <w:rPr>
                <w:rFonts w:ascii="Times New Roman" w:hAnsi="Times New Roman" w:cs="Times New Roman"/>
                <w:sz w:val="24"/>
                <w:szCs w:val="24"/>
              </w:rPr>
              <w:t>link from one page to another</w:t>
            </w:r>
          </w:p>
        </w:tc>
      </w:tr>
    </w:tbl>
    <w:p w:rsidR="0079573D" w:rsidRPr="007144EA" w:rsidRDefault="0079573D" w:rsidP="00B70755">
      <w:pPr>
        <w:rPr>
          <w:rFonts w:ascii="Times New Roman" w:hAnsi="Times New Roman" w:cs="Times New Roman"/>
          <w:sz w:val="24"/>
          <w:szCs w:val="24"/>
        </w:rPr>
      </w:pPr>
    </w:p>
    <w:sectPr w:rsidR="0079573D" w:rsidRPr="007144EA" w:rsidSect="00A60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12FF"/>
    <w:rsid w:val="0005103E"/>
    <w:rsid w:val="00086D1A"/>
    <w:rsid w:val="001D6778"/>
    <w:rsid w:val="00345A75"/>
    <w:rsid w:val="00410E42"/>
    <w:rsid w:val="006B42C1"/>
    <w:rsid w:val="006B7484"/>
    <w:rsid w:val="007144EA"/>
    <w:rsid w:val="0079573D"/>
    <w:rsid w:val="00A107B2"/>
    <w:rsid w:val="00A52B5D"/>
    <w:rsid w:val="00A605C6"/>
    <w:rsid w:val="00B70755"/>
    <w:rsid w:val="00C912FF"/>
    <w:rsid w:val="00DE48A3"/>
    <w:rsid w:val="00E01C9A"/>
    <w:rsid w:val="00FD1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12F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912FF"/>
    <w:rPr>
      <w:rFonts w:ascii="Courier New" w:eastAsia="Times New Roman" w:hAnsi="Courier New" w:cs="Courier New"/>
      <w:sz w:val="20"/>
      <w:szCs w:val="20"/>
    </w:rPr>
  </w:style>
  <w:style w:type="character" w:customStyle="1" w:styleId="cssselectorcolor">
    <w:name w:val="cssselectorcolor"/>
    <w:basedOn w:val="DefaultParagraphFont"/>
    <w:rsid w:val="00C912FF"/>
  </w:style>
  <w:style w:type="character" w:customStyle="1" w:styleId="commentcolor">
    <w:name w:val="commentcolor"/>
    <w:basedOn w:val="DefaultParagraphFont"/>
    <w:rsid w:val="00C912FF"/>
  </w:style>
  <w:style w:type="character" w:customStyle="1" w:styleId="tagnamecolor">
    <w:name w:val="tagnamecolor"/>
    <w:basedOn w:val="DefaultParagraphFont"/>
    <w:rsid w:val="00086D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8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</dc:creator>
  <cp:lastModifiedBy>User</cp:lastModifiedBy>
  <cp:revision>5</cp:revision>
  <dcterms:created xsi:type="dcterms:W3CDTF">2019-09-06T16:55:00Z</dcterms:created>
  <dcterms:modified xsi:type="dcterms:W3CDTF">2019-09-06T17:50:00Z</dcterms:modified>
</cp:coreProperties>
</file>