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市场与产品可行性研究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365D"/>
          <w:sz w:val="56"/>
        </w:rPr>
        <w:t>澳洲饮食营养健康App</w:t>
        <w:br/>
        <w:t>可行性研究报告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以薄荷健康类产品为参照的市场、数据、产品与监管评估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版本 1.0  |  研究基准日：2026年8月28日</w:t>
      </w:r>
    </w:p>
    <w:p>
      <w:pPr>
        <w:jc w:val="center"/>
      </w:pPr>
      <w:r>
        <w:rPr>
          <w:rFonts w:ascii="Calibri" w:hAnsi="Calibri" w:eastAsia="Microsoft YaHei"/>
          <w:i/>
          <w:color w:val="667085"/>
          <w:sz w:val="19"/>
        </w:rPr>
        <w:t>用途：后续产品定义、用户验证、商业评估与Go/No-Go决策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核心判断  </w:t>
            </w:r>
            <w:r>
              <w:rPr>
                <w:rFonts w:ascii="Calibri" w:hAnsi="Calibri" w:eastAsia="Microsoft YaHei"/>
                <w:color w:val="1F2937"/>
              </w:rPr>
              <w:t>在澳洲推出饮食营养健康App具有有条件可行性。机会不在于复制另一个英文卡路里记录器，而在于结合澳洲可信食品数据、中餐及亚洲餐识别、中英双语解释和可执行的下一餐搭配建议。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61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评估维度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评分</w:t>
            </w:r>
          </w:p>
        </w:tc>
        <w:tc>
          <w:tcPr>
            <w:tcW w:type="dxa" w:w="6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技术可行性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8/10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官方数据可用，OCR、图片和语音交互成熟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用户需求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7/10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体重和饮食健康需求强，但记录摩擦明显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差异化空间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6.5/10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普通记录市场拥挤，亚洲饮食和双语服务仍有空档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商业化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5.5/10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强免费竞品压低单纯订阅的付费空间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监管可控性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7/10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保持一般健康管理定位可降低TGA门槛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综合判断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6.8/10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建议先验证细分市场，再决定是否扩大投入</w:t>
            </w:r>
          </w:p>
        </w:tc>
      </w:tr>
    </w:tbl>
    <w:p>
      <w:pPr>
        <w:spacing w:after="40"/>
      </w:pPr>
    </w:p>
    <w:p>
      <w:r>
        <w:t>推荐切入点：澳洲多元文化饮食人群，首先服务经常食用中餐或亚洲餐的华语用户，再向其他亚洲及移民饮食场景扩展。</w:t>
      </w:r>
    </w:p>
    <w:p>
      <w:pPr>
        <w:pStyle w:val="Heading1"/>
      </w:pPr>
      <w:r>
        <w:t>1. 研究范围与前提</w:t>
      </w:r>
    </w:p>
    <w:p>
      <w:r>
        <w:t>本报告把可行性定义为：在澳洲面向普通消费者推出饮食记录、营养分析和搭配建议App，并在不进入疾病诊断或治疗的前提下，验证其产品、市场、数据、商业及监管成立条件。</w:t>
      </w:r>
    </w:p>
    <w:p>
      <w:pPr>
        <w:pStyle w:val="Heading2"/>
      </w:pPr>
      <w:r>
        <w:t>1.1 分析边界</w:t>
      </w:r>
    </w:p>
    <w:p>
      <w:pPr>
        <w:pStyle w:val="ListBullet"/>
      </w:pPr>
      <w:r>
        <w:t>研究对象为一般健康和体重管理工具，不等同于医疗器械或临床营养治疗软件。</w:t>
      </w:r>
    </w:p>
    <w:p>
      <w:pPr>
        <w:pStyle w:val="ListBullet"/>
      </w:pPr>
      <w:r>
        <w:t>中国大陆产品信息主要来自官方App Store页面；其中用户数、食物库规模和识别准确率属于开发者自述，需在尽调阶段独立核验。</w:t>
      </w:r>
    </w:p>
    <w:p>
      <w:pPr>
        <w:pStyle w:val="ListBullet"/>
      </w:pPr>
      <w:r>
        <w:t>本报告是桌面研究，不替代澳洲法律、隐私、税务、医疗器械和营养专业意见。</w:t>
      </w:r>
    </w:p>
    <w:p>
      <w:pPr>
        <w:pStyle w:val="ListBullet"/>
      </w:pPr>
      <w:r>
        <w:t>收入、获客成本和留存率尚未经过真实用户测试，因此商业可行性为条件性判断。</w:t>
      </w:r>
    </w:p>
    <w:p>
      <w:pPr>
        <w:pStyle w:val="Heading2"/>
      </w:pPr>
      <w:r>
        <w:t>1.2 评估框架</w:t>
      </w:r>
    </w:p>
    <w:p>
      <w:r>
        <w:t>评估从五个方面展开：大陆产品模式、本地竞争与需求、数据与技术、监管与隐私、商业模式及验证门槛。</w:t>
      </w:r>
    </w:p>
    <w:p>
      <w:pPr>
        <w:pStyle w:val="Heading1"/>
      </w:pPr>
      <w:r>
        <w:t>2. 中国大陆产品模式及启示</w:t>
      </w:r>
    </w:p>
    <w:p>
      <w:pPr>
        <w:pStyle w:val="Heading2"/>
      </w:pPr>
      <w:r>
        <w:t>2.1 薄荷健康：从食品库到完整体重管理平台</w:t>
      </w:r>
    </w:p>
    <w:p>
      <w:r>
        <w:t>薄荷健康已形成食品查询、三餐及运动记录、体重体脂跟踪、AI计划、专家服务、社区和健康商品销售的闭环。其官方页面称食品库超过100万条，以中国食物为主，并采用免费功能、会员和服务商品组合变现。</w:t>
      </w:r>
    </w:p>
    <w:p>
      <w:pPr>
        <w:pStyle w:val="ListBullet"/>
      </w:pPr>
      <w:r>
        <w:t>核心资产是长期积累的中国食品和菜肴数据，而不只是热量计算公式。</w:t>
      </w:r>
    </w:p>
    <w:p>
      <w:pPr>
        <w:pStyle w:val="ListBullet"/>
      </w:pPr>
      <w:r>
        <w:t>产品围绕记录、反馈、计划、陪伴和购买形成连续使用链路。</w:t>
      </w:r>
    </w:p>
    <w:p>
      <w:pPr>
        <w:pStyle w:val="ListBullet"/>
      </w:pPr>
      <w:r>
        <w:t>中餐菜名、份量和烹饪方式的本地化降低了记录门槛。</w:t>
      </w:r>
    </w:p>
    <w:p>
      <w:pPr>
        <w:pStyle w:val="Heading2"/>
      </w:pPr>
      <w:r>
        <w:t>2.2 好轻：硬件数据入口与AI管理</w:t>
      </w:r>
    </w:p>
    <w:p>
      <w:r>
        <w:t>好轻以体脂秤和体重数据为入口，叠加拍照识别、AI问答、动态减重计划、饮食和运动建议。该模式说明自动采集身体数据可以提高持续使用，但自有硬件会增加库存、售后和认证负担，不宜作为澳洲初创版本的第一步。</w:t>
      </w:r>
    </w:p>
    <w:p>
      <w:pPr>
        <w:pStyle w:val="Heading2"/>
      </w:pPr>
      <w:r>
        <w:t>2.3 Keep：运动生态带动饮食</w:t>
      </w:r>
    </w:p>
    <w:p>
      <w:r>
        <w:t>Keep把饮食置于吃、练、睡一体化数据体系中。其优势来自运动课程、穿戴设备和社区规模。若新产品没有运动内容生态，正面复制Keep的综合路线成本过高。</w:t>
      </w:r>
    </w:p>
    <w:p>
      <w:pPr>
        <w:pStyle w:val="Heading2"/>
      </w:pPr>
      <w:r>
        <w:t>2.4 新一代轻量产品：多模态低摩擦记录</w:t>
      </w:r>
    </w:p>
    <w:p>
      <w:r>
        <w:t>中国App Store已出现大量拍照、语音、自然语言和标签OCR记录工具，竞争重点从食品库数量转向记录速度和解释质量。但单张图片无法可靠获知用油、酱料、隐藏食材和真实重量，因此输出应被设计为可编辑估算，而非精确测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可借鉴的产品原则  </w:t>
            </w:r>
            <w:r>
              <w:rPr>
                <w:rFonts w:ascii="Calibri" w:hAnsi="Calibri" w:eastAsia="Microsoft YaHei"/>
                <w:color w:val="1F2937"/>
              </w:rPr>
              <w:t>数据库本地化、多模态快速输入、可纠正估算、连续反馈和可信来源展示值得借鉴；社区、电商和自有硬件应推迟到产品市场匹配之后。</w:t>
            </w:r>
          </w:p>
        </w:tc>
      </w:tr>
    </w:tbl>
    <w:p>
      <w:pPr>
        <w:spacing w:after="40"/>
      </w:pPr>
    </w:p>
    <w:p>
      <w:pPr>
        <w:pStyle w:val="Heading1"/>
      </w:pPr>
      <w:r>
        <w:t>3. 澳洲市场、竞争与需求</w:t>
      </w:r>
    </w:p>
    <w:p>
      <w:pPr>
        <w:pStyle w:val="Heading2"/>
      </w:pPr>
      <w:r>
        <w:t>3.1 主要竞品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00"/>
        <w:gridCol w:w="26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产品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核心优势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对新产品的约束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潜在空档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Easy Diet Diary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澳洲食品库、条码、营养素、免费无广告、专业端连接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本地记录基础功能已被很好覆盖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对中餐和双语文化饮食的理解可继续提升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MyFitnessPal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全球品牌、设备生态、宏量营养和高级记录方式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用户规模和功能广度形成壁垒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国家数据混杂、复杂菜肴记录仍可能繁琐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FoodSwitch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澳洲科研背景、条码、健康替代、免费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超市扫描和替代推荐并非空白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不以整日饮食和复合餐记录为核心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Yuka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简单评分、庞大商品库、替代建议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健康评分交互已经成熟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澳洲文化餐食和连续膳食建议有限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AI记录新秀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图片、语音、文字输入快速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AI交互容易被复制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可信数据、可解释性和澳洲专业审核仍可差异化</w:t>
            </w:r>
          </w:p>
        </w:tc>
      </w:tr>
    </w:tbl>
    <w:p>
      <w:pPr>
        <w:spacing w:after="40"/>
      </w:pPr>
    </w:p>
    <w:p>
      <w:pPr>
        <w:pStyle w:val="Heading2"/>
      </w:pPr>
      <w:r>
        <w:t>3.2 需求证据</w:t>
      </w:r>
    </w:p>
    <w:p>
      <w:r>
        <w:t>澳洲统计局数据显示，2022年65.8%的成年人属于超重或肥胖，其中31.7%属于肥胖。澳洲饮食App研究则发现，常用功能包括饮食记录、营养查询和条码扫描；停止使用的首要原因是耗时，其后包括难用、昂贵和用途有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市场含义  </w:t>
            </w:r>
            <w:r>
              <w:rPr>
                <w:rFonts w:ascii="Calibri" w:hAnsi="Calibri" w:eastAsia="Microsoft YaHei"/>
                <w:color w:val="1F2937"/>
              </w:rPr>
              <w:t>澳洲不缺营养App，缺的是更低摩擦、更可信且更贴近日常饮食的体验。单纯增加一个卡路里计算器不能形成产品市场匹配。</w:t>
            </w:r>
          </w:p>
        </w:tc>
      </w:tr>
    </w:tbl>
    <w:p>
      <w:pPr>
        <w:spacing w:after="40"/>
      </w:pPr>
    </w:p>
    <w:p>
      <w:pPr>
        <w:pStyle w:val="Heading2"/>
      </w:pPr>
      <w:r>
        <w:t>3.3 华语及亚洲饮食切口</w:t>
      </w:r>
    </w:p>
    <w:p>
      <w:r>
        <w:t>2021年澳洲约139万人报告华人血统；约68.5万人在家使用普通话，约29.5万人使用粤语。华语用户适合作为首批验证对象，但最终市场应包括所有经常食用中餐、东南亚餐、印度餐及其他复合文化饮食的人群。</w:t>
      </w:r>
    </w:p>
    <w:p>
      <w:pPr>
        <w:pStyle w:val="ListBullet"/>
      </w:pPr>
      <w:r>
        <w:t>中西混合家庭和新移民需要双语食品名称及份量解释。</w:t>
      </w:r>
    </w:p>
    <w:p>
      <w:pPr>
        <w:pStyle w:val="ListBullet"/>
      </w:pPr>
      <w:r>
        <w:t>家庭合菜、火锅、外卖和餐馆菜较难用传统数据库逐项记录。</w:t>
      </w:r>
    </w:p>
    <w:p>
      <w:pPr>
        <w:pStyle w:val="ListBullet"/>
      </w:pPr>
      <w:r>
        <w:t>营养师需要看懂用户真实文化饮食，而不是只看到模糊的通用菜名。</w:t>
      </w:r>
    </w:p>
    <w:p>
      <w:pPr>
        <w:pStyle w:val="Heading1"/>
      </w:pPr>
      <w:r>
        <w:t>4. 数据与技术可行性</w:t>
      </w:r>
    </w:p>
    <w:p>
      <w:pPr>
        <w:pStyle w:val="Heading2"/>
      </w:pPr>
      <w:r>
        <w:t>4.1 澳洲可用数据基础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000"/>
        <w:gridCol w:w="2700"/>
        <w:gridCol w:w="3010"/>
      </w:tblGrid>
      <w:tr>
        <w:trPr>
          <w:tblHeader w:val="true"/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数据层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优势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限制及处理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AFCD Release 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基础食材营养底库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1,588种常见食品；每种至少58项核心营养数据；以实验室分析为主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需遵守署名、相同方式共享及局限性说明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AUSNUT 2023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调查消费食物和复合食物映射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更接近实际食用场景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需核对具体许可和配方推导方式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FSANZ品牌食品库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澳洲包装食品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由GS1和品牌商参与、具有验证规则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覆盖范围和更新时效不能预设为完整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标签OCR及用户提交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补充新品牌和亚洲超市商品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扩展快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必须保存标签证据、版本、审核状态和纠错机制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文化菜肴配方库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中餐和亚洲复合餐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形成差异化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只能给区间或可编辑估算，需由专业人员审核</w:t>
            </w:r>
          </w:p>
        </w:tc>
      </w:tr>
    </w:tbl>
    <w:p>
      <w:pPr>
        <w:spacing w:after="40"/>
      </w:pPr>
    </w:p>
    <w:p>
      <w:pPr>
        <w:pStyle w:val="Heading2"/>
      </w:pPr>
      <w:r>
        <w:t>4.2 推荐的数据可信度设计</w:t>
      </w:r>
    </w:p>
    <w:p>
      <w:pPr>
        <w:pStyle w:val="ListNumber"/>
      </w:pPr>
      <w:r>
        <w:t>每条食品记录显示来源、适用国家、采集日期、最后审核日期和可信等级。</w:t>
      </w:r>
    </w:p>
    <w:p>
      <w:pPr>
        <w:pStyle w:val="ListNumber"/>
      </w:pPr>
      <w:r>
        <w:t>把实验室数据、品牌标签数据、标准配方估算和用户提交明确区分。</w:t>
      </w:r>
    </w:p>
    <w:p>
      <w:pPr>
        <w:pStyle w:val="ListNumber"/>
      </w:pPr>
      <w:r>
        <w:t>复杂菜肴先识别食物类别，再让用户快速确认份量、烹饪方式、油和酱料。</w:t>
      </w:r>
    </w:p>
    <w:p>
      <w:pPr>
        <w:pStyle w:val="ListNumber"/>
      </w:pPr>
      <w:r>
        <w:t>保存修正反馈，用于提升检索排序和模型表现，但不能未经审核直接污染主数据库。</w:t>
      </w:r>
    </w:p>
    <w:p>
      <w:pPr>
        <w:pStyle w:val="ListNumber"/>
      </w:pPr>
      <w:r>
        <w:t>同时支持kJ和kcal，并优先遵循澳洲标签和份量表达习惯。</w:t>
      </w:r>
    </w:p>
    <w:p>
      <w:pPr>
        <w:pStyle w:val="Heading2"/>
      </w:pPr>
      <w:r>
        <w:t>4.3 AI边界</w:t>
      </w:r>
    </w:p>
    <w:p>
      <w:r>
        <w:t>AI适合降低输入成本、拆解餐食、解释营养数字和生成候选搭配，但不应替代营养数据库、份量确认或专业审核。建议向用户显示估算范围和不确定性，并允许一键修正。</w:t>
      </w:r>
    </w:p>
    <w:p>
      <w:pPr>
        <w:pStyle w:val="Heading1"/>
      </w:pPr>
      <w:r>
        <w:t>5. 推荐产品定位与MVP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建议定位  </w:t>
            </w:r>
            <w:r>
              <w:rPr>
                <w:rFonts w:ascii="Calibri" w:hAnsi="Calibri" w:eastAsia="Microsoft YaHei"/>
                <w:color w:val="1F2937"/>
              </w:rPr>
              <w:t>面向澳洲多元饮食人群的双语智能饮食助手：理解本地包装食品、中餐和亚洲餐，并把营养数字转化为下一餐怎么搭配。</w:t>
            </w:r>
          </w:p>
        </w:tc>
      </w:tr>
    </w:tbl>
    <w:p>
      <w:pPr>
        <w:spacing w:after="40"/>
      </w:pPr>
    </w:p>
    <w:p>
      <w:pPr>
        <w:pStyle w:val="Heading2"/>
      </w:pPr>
      <w:r>
        <w:t>5.1 第一版必须具备</w:t>
      </w:r>
    </w:p>
    <w:p>
      <w:pPr>
        <w:pStyle w:val="ListBullet"/>
      </w:pPr>
      <w:r>
        <w:t>中英文食品名称、俗称和同义词搜索。</w:t>
      </w:r>
    </w:p>
    <w:p>
      <w:pPr>
        <w:pStyle w:val="ListBullet"/>
      </w:pPr>
      <w:r>
        <w:t>澳洲包装食品条码和营养标签OCR。</w:t>
      </w:r>
    </w:p>
    <w:p>
      <w:pPr>
        <w:pStyle w:val="ListBullet"/>
      </w:pPr>
      <w:r>
        <w:t>照片、文字和语音联合记录中餐及亚洲餐。</w:t>
      </w:r>
    </w:p>
    <w:p>
      <w:pPr>
        <w:pStyle w:val="ListBullet"/>
      </w:pPr>
      <w:r>
        <w:t>碗、勺、片、杯和克等份量快速确认。</w:t>
      </w:r>
    </w:p>
    <w:p>
      <w:pPr>
        <w:pStyle w:val="ListBullet"/>
      </w:pPr>
      <w:r>
        <w:t>能量、蛋白质、纤维、钠、饱和脂肪和糖等核心提示。</w:t>
      </w:r>
    </w:p>
    <w:p>
      <w:pPr>
        <w:pStyle w:val="ListBullet"/>
      </w:pPr>
      <w:r>
        <w:t>依据澳洲饮食指南评价一天的饮食结构，并给出下一餐建议。</w:t>
      </w:r>
    </w:p>
    <w:p>
      <w:pPr>
        <w:pStyle w:val="ListBullet"/>
      </w:pPr>
      <w:r>
        <w:t>常吃餐食复用、Apple Health或Health Connect同步、周报导出。</w:t>
      </w:r>
    </w:p>
    <w:p>
      <w:pPr>
        <w:pStyle w:val="ListBullet"/>
      </w:pPr>
      <w:r>
        <w:t>明确显示数据来源、更新时间和估算置信度。</w:t>
      </w:r>
    </w:p>
    <w:p>
      <w:pPr>
        <w:pStyle w:val="Heading2"/>
      </w:pPr>
      <w:r>
        <w:t>5.2 第一版不应建设</w:t>
      </w:r>
    </w:p>
    <w:p>
      <w:pPr>
        <w:pStyle w:val="ListBullet"/>
      </w:pPr>
      <w:r>
        <w:t>社区信息流和复杂内容审核体系。</w:t>
      </w:r>
    </w:p>
    <w:p>
      <w:pPr>
        <w:pStyle w:val="ListBullet"/>
      </w:pPr>
      <w:r>
        <w:t>自营健康食品商城或自有体脂秤。</w:t>
      </w:r>
    </w:p>
    <w:p>
      <w:pPr>
        <w:pStyle w:val="ListBullet"/>
      </w:pPr>
      <w:r>
        <w:t>疾病诊断、治疗或自动临床膳食方案。</w:t>
      </w:r>
    </w:p>
    <w:p>
      <w:pPr>
        <w:pStyle w:val="ListBullet"/>
      </w:pPr>
      <w:r>
        <w:t>不可解释的单一AI健康分数。</w:t>
      </w:r>
    </w:p>
    <w:p>
      <w:pPr>
        <w:pStyle w:val="ListBullet"/>
      </w:pPr>
      <w:r>
        <w:t>完全依赖照片得出的精确热量。</w:t>
      </w:r>
    </w:p>
    <w:p>
      <w:pPr>
        <w:pStyle w:val="Heading1"/>
      </w:pPr>
      <w:r>
        <w:t>6. 监管、专业与隐私</w:t>
      </w:r>
    </w:p>
    <w:p>
      <w:pPr>
        <w:pStyle w:val="Heading2"/>
      </w:pPr>
      <w:r>
        <w:t>6.1 TGA边界</w:t>
      </w:r>
    </w:p>
    <w:p>
      <w:r>
        <w:t>一般卡路里计数、健康饮食和生活方式工具通常不属于医疗器械；若软件声称诊断、预防、监测或治疗疾病，则可能成为软件医疗器械并需要纳入ARTG。对澳洲用户开放的海外软件也可能被视为在澳洲供应。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建议使用的表达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高风险表达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支持健康饮食；一般健康信息；帮助形成习惯；营养估算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治疗糖尿病；逆转脂肪肝；预防疾病；自动制定治疗饮食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对健康成年人提供一般搭配提示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根据化验结果或疾病状态给出治疗决策</w:t>
            </w:r>
          </w:p>
        </w:tc>
      </w:tr>
    </w:tbl>
    <w:p>
      <w:pPr>
        <w:spacing w:after="40"/>
      </w:pPr>
    </w:p>
    <w:p>
      <w:pPr>
        <w:pStyle w:val="Heading2"/>
      </w:pPr>
      <w:r>
        <w:t>6.2 隐私与跨境数据</w:t>
      </w:r>
    </w:p>
    <w:p>
      <w:r>
        <w:t>饮食、体重、身体指标、疾病信息和餐食照片可能构成健康信息。若把数据发送至境外AI或云服务，澳洲机构通常需要采取合理措施确保境外接收者符合Australian Privacy Principles，并可能对境外处理行为承担责任。</w:t>
      </w:r>
    </w:p>
    <w:p>
      <w:pPr>
        <w:pStyle w:val="ListBullet"/>
      </w:pPr>
      <w:r>
        <w:t>优先选择澳洲区域存储，并记录所有数据处理地点。</w:t>
      </w:r>
    </w:p>
    <w:p>
      <w:pPr>
        <w:pStyle w:val="ListBullet"/>
      </w:pPr>
      <w:r>
        <w:t>允许用户删除原始餐食照片并导出或删除账户数据。</w:t>
      </w:r>
    </w:p>
    <w:p>
      <w:pPr>
        <w:pStyle w:val="ListBullet"/>
      </w:pPr>
      <w:r>
        <w:t>不把健康数据用于广告画像或未经同意的二次用途。</w:t>
      </w:r>
    </w:p>
    <w:p>
      <w:pPr>
        <w:pStyle w:val="ListBullet"/>
      </w:pPr>
      <w:r>
        <w:t>采用最小化收集、明确同意、访问控制、审计日志和数据保留期限。</w:t>
      </w:r>
    </w:p>
    <w:p>
      <w:pPr>
        <w:pStyle w:val="ListBullet"/>
      </w:pPr>
      <w:r>
        <w:t>上线前完成隐私影响评估，并由澳洲律师复核隐私政策和跨境安排。</w:t>
      </w:r>
    </w:p>
    <w:p>
      <w:pPr>
        <w:pStyle w:val="Heading2"/>
      </w:pPr>
      <w:r>
        <w:t>6.3 专业审核</w:t>
      </w:r>
    </w:p>
    <w:p>
      <w:r>
        <w:t>营养内容和搭配逻辑应由澳洲Accredited Practising Dietitian审核。涉及孕期、儿童、进食障碍风险、肾病、糖尿病、过敏和其他特殊人群时，应设置明确的转介和限制路径。</w:t>
      </w:r>
    </w:p>
    <w:p>
      <w:pPr>
        <w:pStyle w:val="Heading1"/>
      </w:pPr>
      <w:r>
        <w:t>7. 商业模式评估</w:t>
      </w:r>
    </w:p>
    <w:p>
      <w:pPr>
        <w:pStyle w:val="Heading2"/>
      </w:pPr>
      <w:r>
        <w:t>7.1 B2C订阅</w:t>
      </w:r>
    </w:p>
    <w:p>
      <w:r>
        <w:t>单纯依赖订阅存在压力，因为Easy Diet Diary和FoodSwitch提供强免费产品，MyFitnessPal则占据综合高级订阅位置。免费层可覆盖基础搜索、记录和每日概览；付费层应聚焦无限AI识别、双语周报、家庭账户、高级计划和营养师协作。</w:t>
      </w:r>
    </w:p>
    <w:p>
      <w:r>
        <w:t>建议测试每月7.99至12.99澳元或每年59至89澳元的价格区间；这仅是实验区间，不是已验证市场价格。</w:t>
      </w:r>
    </w:p>
    <w:p>
      <w:pPr>
        <w:pStyle w:val="Heading2"/>
      </w:pPr>
      <w:r>
        <w:t>7.2 B2B2C</w:t>
      </w:r>
    </w:p>
    <w:p>
      <w:r>
        <w:t>专业端可能比纯消费者订阅更具防御性，可服务APD、华人诊所、健身房、大学国际学生健康服务和企业健康项目。价值点是让专业人员快速理解中餐、家庭合菜和亚洲调料，并获得可审核的饮食周报。</w:t>
      </w:r>
    </w:p>
    <w:p>
      <w:pPr>
        <w:pStyle w:val="Heading2"/>
      </w:pPr>
      <w:r>
        <w:t>7.3 暂不建议的电商路线</w:t>
      </w:r>
    </w:p>
    <w:p>
      <w:r>
        <w:t>薄荷健康的商品和硬件闭环依赖中国供应链及规模。澳洲物流、库存和售后成本更高，过早销售自有商品还可能削弱营养建议的独立性。</w:t>
      </w:r>
    </w:p>
    <w:p>
      <w:pPr>
        <w:pStyle w:val="Heading1"/>
      </w:pPr>
      <w:r>
        <w:t>8. 12周验证计划</w:t>
      </w:r>
    </w:p>
    <w:p>
      <w:pPr>
        <w:pStyle w:val="Heading2"/>
      </w:pPr>
      <w:r>
        <w:t>阶段一：第1至3周，问题验证</w:t>
      </w:r>
    </w:p>
    <w:p>
      <w:r>
        <w:t>访谈30至50名澳洲用户，其中至少一半经常吃中餐或亚洲餐；同时访谈5至10名APD和若干诊所或健身专业人员。要求受访者实际演示最近一周的记录流程。</w:t>
      </w:r>
    </w:p>
    <w:p>
      <w:pPr>
        <w:pStyle w:val="Heading2"/>
      </w:pPr>
      <w:r>
        <w:t>阶段二：第4至8周，可用原型</w:t>
      </w:r>
    </w:p>
    <w:p>
      <w:r>
        <w:t>原型只覆盖300至500种高频基础食物、500至1,000种澳洲包装食品和100至200种常见中餐或亚洲菜，提供照片、文字、标签三种入口以及当日分析和下一餐建议。</w:t>
      </w:r>
    </w:p>
    <w:p>
      <w:r>
        <w:br w:type="page"/>
      </w:r>
    </w:p>
    <w:p>
      <w:pPr>
        <w:pStyle w:val="Heading2"/>
      </w:pPr>
      <w:r>
        <w:t>阶段三：第9至12周，付费验证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200"/>
        <w:gridCol w:w="4460"/>
      </w:tblGrid>
      <w:tr>
        <w:trPr>
          <w:tblHeader w:val="true"/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建议Go门槛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验证目的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常见餐食成功记录率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&gt;90%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验证数据库和输入覆盖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单餐中位记录时间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&lt;30秒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验证是否真正降低摩擦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AI结果大幅修改率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&lt;20%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验证识别及份量流程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四周留存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20%至25%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验证持续价值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目标价格付费意愿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&gt;=5%活跃测试者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验证消费者商业化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专业机构试点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&gt;=3家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验证B2B2C路径</w:t>
            </w:r>
          </w:p>
        </w:tc>
      </w:tr>
    </w:tbl>
    <w:p>
      <w:pPr>
        <w:spacing w:after="40"/>
      </w:pPr>
    </w:p>
    <w:p>
      <w:r>
        <w:t>上述数值是本项目建议的内部决策门槛，并非行业平均基准。正式决策还应结合获客成本、退款率、安全事件和营养师支持成本。</w:t>
      </w:r>
    </w:p>
    <w:p>
      <w:pPr>
        <w:pStyle w:val="Heading1"/>
      </w:pPr>
      <w:r>
        <w:t>9. Go/No-Go结论</w:t>
      </w:r>
    </w:p>
    <w:p>
      <w:pPr>
        <w:pStyle w:val="Heading2"/>
      </w:pPr>
      <w:r>
        <w:t>建议Go的条件</w:t>
      </w:r>
    </w:p>
    <w:p>
      <w:pPr>
        <w:pStyle w:val="ListBullet"/>
      </w:pPr>
      <w:r>
        <w:t>中餐及亚洲餐记录成功率显著优于通用竞品。</w:t>
      </w:r>
    </w:p>
    <w:p>
      <w:pPr>
        <w:pStyle w:val="ListBullet"/>
      </w:pPr>
      <w:r>
        <w:t>用户能够在30秒内完成多数餐食记录并愿意持续四周。</w:t>
      </w:r>
    </w:p>
    <w:p>
      <w:pPr>
        <w:pStyle w:val="ListBullet"/>
      </w:pPr>
      <w:r>
        <w:t>可信来源和可编辑估算能够建立用户信任。</w:t>
      </w:r>
    </w:p>
    <w:p>
      <w:pPr>
        <w:pStyle w:val="ListBullet"/>
      </w:pPr>
      <w:r>
        <w:t>至少一个商业路径在小规模测试中出现真实付费。</w:t>
      </w:r>
    </w:p>
    <w:p>
      <w:pPr>
        <w:pStyle w:val="ListBullet"/>
      </w:pPr>
      <w:r>
        <w:t>隐私、跨境数据和TGA定位经澳洲专业顾问确认可控。</w:t>
      </w:r>
    </w:p>
    <w:p>
      <w:pPr>
        <w:pStyle w:val="Heading2"/>
      </w:pPr>
      <w:r>
        <w:t>建议No-Go或转向的信号</w:t>
      </w:r>
    </w:p>
    <w:p>
      <w:pPr>
        <w:pStyle w:val="ListBullet"/>
      </w:pPr>
      <w:r>
        <w:t>主要用户只需要现有免费记录功能。</w:t>
      </w:r>
    </w:p>
    <w:p>
      <w:pPr>
        <w:pStyle w:val="ListBullet"/>
      </w:pPr>
      <w:r>
        <w:t>高频中餐仍需大量手动修正，无法形成体验优势。</w:t>
      </w:r>
    </w:p>
    <w:p>
      <w:pPr>
        <w:pStyle w:val="ListBullet"/>
      </w:pPr>
      <w:r>
        <w:t>付费意愿不足以覆盖AI推理、数据维护和专业审核成本。</w:t>
      </w:r>
    </w:p>
    <w:p>
      <w:pPr>
        <w:pStyle w:val="ListBullet"/>
      </w:pPr>
      <w:r>
        <w:t>获客高度依赖持续付费广告，缺乏营养师或社区渠道。</w:t>
      </w:r>
    </w:p>
    <w:p>
      <w:pPr>
        <w:pStyle w:val="ListBullet"/>
      </w:pPr>
      <w:r>
        <w:t>产品为追求差异化被迫进入未经验证的疾病治疗建议。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 xml:space="preserve">最终结论  </w:t>
            </w:r>
            <w:r>
              <w:rPr>
                <w:rFonts w:ascii="Calibri" w:hAnsi="Calibri" w:eastAsia="Microsoft YaHei"/>
                <w:color w:val="1F2937"/>
              </w:rPr>
              <w:t>最值得做的是澳洲本地标准下、真正懂中餐和亚洲饮食的双语营养记录与搭配助手。最不值得做的是把薄荷健康翻译成英文后接入一个拍照模型。</w:t>
            </w:r>
          </w:p>
        </w:tc>
      </w:tr>
    </w:tbl>
    <w:p>
      <w:pPr>
        <w:spacing w:after="40"/>
      </w:pPr>
    </w:p>
    <w:p>
      <w:pPr>
        <w:pStyle w:val="Heading1"/>
      </w:pPr>
      <w:r>
        <w:t>10. 后续评估清单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400"/>
        <w:gridCol w:w="3000"/>
        <w:gridCol w:w="1660"/>
      </w:tblGrid>
      <w:tr>
        <w:trPr>
          <w:tblHeader w:val="true"/>
          <w:cantSplit/>
        </w:trP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待验证问题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当前状态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所需证据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责任人/日期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首批用户是否愿为双语和文化餐食识别付费？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未验证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付费落地页及价格实验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澳洲品牌和亚洲超市商品覆盖率能否达到90%？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未验证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条码样本审计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中餐份量和用油确认是否足够简洁？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未验证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可用性测试录像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AFCD及其他数据许可如何影响数据库分发？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待法律复核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许可意见和数据架构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B2B营养师端能否形成稳定收入？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未验证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3家以上付费试点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目标用户中是否存在进食障碍或过度记录风险？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需专项设计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安全评估和转介策略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待定</w:t>
            </w:r>
          </w:p>
        </w:tc>
      </w:tr>
    </w:tbl>
    <w:p>
      <w:pPr>
        <w:spacing w:after="40"/>
      </w:pPr>
    </w:p>
    <w:p>
      <w:r>
        <w:t>建议每轮用户研究后更新本节，同时维护：假设、证据、决策、负责人和复查日期。</w:t>
      </w:r>
    </w:p>
    <w:p>
      <w:pPr>
        <w:pStyle w:val="Heading1"/>
      </w:pPr>
      <w:r>
        <w:t>附录A：主要资料来源</w:t>
      </w:r>
    </w:p>
    <w:p>
      <w:pPr>
        <w:spacing w:after="80"/>
      </w:pPr>
      <w:hyperlink r:id="rId11">
        <w:r>
          <w:rPr>
            <w:rFonts w:ascii="Calibri" w:hAnsi="Calibri" w:eastAsia="Microsoft YaHei"/>
            <w:color w:val="2E74B5"/>
            <w:u w:val="single"/>
          </w:rPr>
          <w:t>薄荷健康 App Store</w:t>
        </w:r>
      </w:hyperlink>
    </w:p>
    <w:p>
      <w:pPr>
        <w:spacing w:after="80"/>
      </w:pPr>
      <w:hyperlink r:id="rId12">
        <w:r>
          <w:rPr>
            <w:rFonts w:ascii="Calibri" w:hAnsi="Calibri" w:eastAsia="Microsoft YaHei"/>
            <w:color w:val="2E74B5"/>
            <w:u w:val="single"/>
          </w:rPr>
          <w:t>好轻 App Store</w:t>
        </w:r>
      </w:hyperlink>
    </w:p>
    <w:p>
      <w:pPr>
        <w:spacing w:after="80"/>
      </w:pPr>
      <w:hyperlink r:id="rId13">
        <w:r>
          <w:rPr>
            <w:rFonts w:ascii="Calibri" w:hAnsi="Calibri" w:eastAsia="Microsoft YaHei"/>
            <w:color w:val="2E74B5"/>
            <w:u w:val="single"/>
          </w:rPr>
          <w:t>Keep App Store</w:t>
        </w:r>
      </w:hyperlink>
    </w:p>
    <w:p>
      <w:pPr>
        <w:spacing w:after="80"/>
      </w:pPr>
      <w:hyperlink r:id="rId14">
        <w:r>
          <w:rPr>
            <w:rFonts w:ascii="Calibri" w:hAnsi="Calibri" w:eastAsia="Microsoft YaHei"/>
            <w:color w:val="2E74B5"/>
            <w:u w:val="single"/>
          </w:rPr>
          <w:t>FSANZ Food and nutrient databases</w:t>
        </w:r>
      </w:hyperlink>
    </w:p>
    <w:p>
      <w:pPr>
        <w:spacing w:after="80"/>
      </w:pPr>
      <w:hyperlink r:id="rId15">
        <w:r>
          <w:rPr>
            <w:rFonts w:ascii="Calibri" w:hAnsi="Calibri" w:eastAsia="Microsoft YaHei"/>
            <w:color w:val="2E74B5"/>
            <w:u w:val="single"/>
          </w:rPr>
          <w:t>AFCD data files</w:t>
        </w:r>
      </w:hyperlink>
    </w:p>
    <w:p>
      <w:pPr>
        <w:spacing w:after="80"/>
      </w:pPr>
      <w:hyperlink r:id="rId16">
        <w:r>
          <w:rPr>
            <w:rFonts w:ascii="Calibri" w:hAnsi="Calibri" w:eastAsia="Microsoft YaHei"/>
            <w:color w:val="2E74B5"/>
            <w:u w:val="single"/>
          </w:rPr>
          <w:t>FSANZ Data User Licence Agreement</w:t>
        </w:r>
      </w:hyperlink>
    </w:p>
    <w:p>
      <w:pPr>
        <w:spacing w:after="80"/>
      </w:pPr>
      <w:hyperlink r:id="rId17">
        <w:r>
          <w:rPr>
            <w:rFonts w:ascii="Calibri" w:hAnsi="Calibri" w:eastAsia="Microsoft YaHei"/>
            <w:color w:val="2E74B5"/>
            <w:u w:val="single"/>
          </w:rPr>
          <w:t>Australian Branded Food Database</w:t>
        </w:r>
      </w:hyperlink>
    </w:p>
    <w:p>
      <w:pPr>
        <w:spacing w:after="80"/>
      </w:pPr>
      <w:hyperlink r:id="rId18">
        <w:r>
          <w:rPr>
            <w:rFonts w:ascii="Calibri" w:hAnsi="Calibri" w:eastAsia="Microsoft YaHei"/>
            <w:color w:val="2E74B5"/>
            <w:u w:val="single"/>
          </w:rPr>
          <w:t>ABS: Waist circumference and BMI, 2022</w:t>
        </w:r>
      </w:hyperlink>
    </w:p>
    <w:p>
      <w:pPr>
        <w:spacing w:after="80"/>
      </w:pPr>
      <w:hyperlink r:id="rId19">
        <w:r>
          <w:rPr>
            <w:rFonts w:ascii="Calibri" w:hAnsi="Calibri" w:eastAsia="Microsoft YaHei"/>
            <w:color w:val="2E74B5"/>
            <w:u w:val="single"/>
          </w:rPr>
          <w:t>ABS: Cultural diversity, Census 2021</w:t>
        </w:r>
      </w:hyperlink>
    </w:p>
    <w:p>
      <w:pPr>
        <w:spacing w:after="80"/>
      </w:pPr>
      <w:hyperlink r:id="rId20">
        <w:r>
          <w:rPr>
            <w:rFonts w:ascii="Calibri" w:hAnsi="Calibri" w:eastAsia="Microsoft YaHei"/>
            <w:color w:val="2E74B5"/>
            <w:u w:val="single"/>
          </w:rPr>
          <w:t>Australian Government: Eating well</w:t>
        </w:r>
      </w:hyperlink>
    </w:p>
    <w:p>
      <w:pPr>
        <w:spacing w:after="80"/>
      </w:pPr>
      <w:hyperlink r:id="rId21">
        <w:r>
          <w:rPr>
            <w:rFonts w:ascii="Calibri" w:hAnsi="Calibri" w:eastAsia="Microsoft YaHei"/>
            <w:color w:val="2E74B5"/>
            <w:u w:val="single"/>
          </w:rPr>
          <w:t>NHMRC Nutrient Reference Values</w:t>
        </w:r>
      </w:hyperlink>
    </w:p>
    <w:p>
      <w:pPr>
        <w:spacing w:after="80"/>
      </w:pPr>
      <w:hyperlink r:id="rId22">
        <w:r>
          <w:rPr>
            <w:rFonts w:ascii="Calibri" w:hAnsi="Calibri" w:eastAsia="Microsoft YaHei"/>
            <w:color w:val="2E74B5"/>
            <w:u w:val="single"/>
          </w:rPr>
          <w:t>TGA software-based medical device guidance</w:t>
        </w:r>
      </w:hyperlink>
    </w:p>
    <w:p>
      <w:pPr>
        <w:spacing w:after="80"/>
      </w:pPr>
      <w:hyperlink r:id="rId23">
        <w:r>
          <w:rPr>
            <w:rFonts w:ascii="Calibri" w:hAnsi="Calibri" w:eastAsia="Microsoft YaHei"/>
            <w:color w:val="2E74B5"/>
            <w:u w:val="single"/>
          </w:rPr>
          <w:t>OAIC health information guidance</w:t>
        </w:r>
      </w:hyperlink>
    </w:p>
    <w:p>
      <w:pPr>
        <w:spacing w:after="80"/>
      </w:pPr>
      <w:hyperlink r:id="rId24">
        <w:r>
          <w:rPr>
            <w:rFonts w:ascii="Calibri" w:hAnsi="Calibri" w:eastAsia="Microsoft YaHei"/>
            <w:color w:val="2E74B5"/>
            <w:u w:val="single"/>
          </w:rPr>
          <w:t>OAIC APP 8 cross-border disclosure</w:t>
        </w:r>
      </w:hyperlink>
    </w:p>
    <w:p>
      <w:pPr>
        <w:spacing w:after="80"/>
      </w:pPr>
      <w:hyperlink r:id="rId25">
        <w:r>
          <w:rPr>
            <w:rFonts w:ascii="Calibri" w:hAnsi="Calibri" w:eastAsia="Microsoft YaHei"/>
            <w:color w:val="2E74B5"/>
            <w:u w:val="single"/>
          </w:rPr>
          <w:t>Healthdirect: Dietitians</w:t>
        </w:r>
      </w:hyperlink>
    </w:p>
    <w:p>
      <w:pPr>
        <w:spacing w:after="80"/>
      </w:pPr>
      <w:hyperlink r:id="rId26">
        <w:r>
          <w:rPr>
            <w:rFonts w:ascii="Calibri" w:hAnsi="Calibri" w:eastAsia="Microsoft YaHei"/>
            <w:color w:val="2E74B5"/>
            <w:u w:val="single"/>
          </w:rPr>
          <w:t>Australian diet-app acceptability study</w:t>
        </w:r>
      </w:hyperlink>
    </w:p>
    <w:p>
      <w:pPr>
        <w:spacing w:after="80"/>
      </w:pPr>
      <w:hyperlink r:id="rId27">
        <w:r>
          <w:rPr>
            <w:rFonts w:ascii="Calibri" w:hAnsi="Calibri" w:eastAsia="Microsoft YaHei"/>
            <w:color w:val="2E74B5"/>
            <w:u w:val="single"/>
          </w:rPr>
          <w:t>JMIR: AI image-based dietary assessment review</w:t>
        </w:r>
      </w:hyperlink>
    </w:p>
    <w:p>
      <w:pPr>
        <w:spacing w:after="80"/>
      </w:pPr>
      <w:hyperlink r:id="rId28">
        <w:r>
          <w:rPr>
            <w:rFonts w:ascii="Calibri" w:hAnsi="Calibri" w:eastAsia="Microsoft YaHei"/>
            <w:color w:val="2E74B5"/>
            <w:u w:val="single"/>
          </w:rPr>
          <w:t>Easy Diet Diary Australia</w:t>
        </w:r>
      </w:hyperlink>
    </w:p>
    <w:p>
      <w:pPr>
        <w:spacing w:after="80"/>
      </w:pPr>
      <w:hyperlink r:id="rId29">
        <w:r>
          <w:rPr>
            <w:rFonts w:ascii="Calibri" w:hAnsi="Calibri" w:eastAsia="Microsoft YaHei"/>
            <w:color w:val="2E74B5"/>
            <w:u w:val="single"/>
          </w:rPr>
          <w:t>MyFitnessPal Australia</w:t>
        </w:r>
      </w:hyperlink>
    </w:p>
    <w:p>
      <w:pPr>
        <w:spacing w:after="80"/>
      </w:pPr>
      <w:hyperlink r:id="rId30">
        <w:r>
          <w:rPr>
            <w:rFonts w:ascii="Calibri" w:hAnsi="Calibri" w:eastAsia="Microsoft YaHei"/>
            <w:color w:val="2E74B5"/>
            <w:u w:val="single"/>
          </w:rPr>
          <w:t>FoodSwitch Australia</w:t>
        </w:r>
      </w:hyperlink>
    </w:p>
    <w:p>
      <w:pPr>
        <w:spacing w:after="80"/>
      </w:pPr>
      <w:hyperlink r:id="rId31">
        <w:r>
          <w:rPr>
            <w:rFonts w:ascii="Calibri" w:hAnsi="Calibri" w:eastAsia="Microsoft YaHei"/>
            <w:color w:val="2E74B5"/>
            <w:u w:val="single"/>
          </w:rPr>
          <w:t>Yuka Australia</w:t>
        </w:r>
      </w:hyperlink>
    </w:p>
    <w:p>
      <w:pPr>
        <w:pStyle w:val="Heading1"/>
      </w:pPr>
      <w:r>
        <w:t>附录B：版本记录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63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1.0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2026-08-28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初始桌面研究；建立市场、数据、产品、监管、商业及验证框架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8"/>
      </w:rPr>
      <w:t>澳洲饮食营养健康App可行性研究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200" w:line="264" w:lineRule="auto"/>
      <w:ind w:left="259" w:right="259"/>
    </w:pPr>
    <w:rPr>
      <w:rFonts w:ascii="Calibri" w:hAnsi="Calibri" w:eastAsia="Microsoft YaHei"/>
      <w:b w:val="0"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s.apple.com/cn/app/id457856023" TargetMode="External"/><Relationship Id="rId12" Type="http://schemas.openxmlformats.org/officeDocument/2006/relationships/hyperlink" Target="https://apps.apple.com/cn/app/id889565307" TargetMode="External"/><Relationship Id="rId13" Type="http://schemas.openxmlformats.org/officeDocument/2006/relationships/hyperlink" Target="https://apps.apple.com/cn/app/id952694580" TargetMode="External"/><Relationship Id="rId14" Type="http://schemas.openxmlformats.org/officeDocument/2006/relationships/hyperlink" Target="https://www.foodstandards.gov.au/science-data/food-nutrient-databases" TargetMode="External"/><Relationship Id="rId15" Type="http://schemas.openxmlformats.org/officeDocument/2006/relationships/hyperlink" Target="https://www.foodstandards.gov.au/science-data/food-nutrient-databases/afcd/data-files" TargetMode="External"/><Relationship Id="rId16" Type="http://schemas.openxmlformats.org/officeDocument/2006/relationships/hyperlink" Target="https://www.foodstandards.gov.au/science-data/monitoringnutrients/afcd/datauserlicenceagreement" TargetMode="External"/><Relationship Id="rId17" Type="http://schemas.openxmlformats.org/officeDocument/2006/relationships/hyperlink" Target="https://www.foodstandards.gov.au/science-data/food-nutrient-databases/branded-food-database" TargetMode="External"/><Relationship Id="rId18" Type="http://schemas.openxmlformats.org/officeDocument/2006/relationships/hyperlink" Target="https://www.abs.gov.au/statistics/health/health-conditions-and-risks/waist-circumference-and-bmi/latest-release" TargetMode="External"/><Relationship Id="rId19" Type="http://schemas.openxmlformats.org/officeDocument/2006/relationships/hyperlink" Target="https://www.abs.gov.au/statistics/people/people-and-communities/cultural-diversity-census/2021" TargetMode="External"/><Relationship Id="rId20" Type="http://schemas.openxmlformats.org/officeDocument/2006/relationships/hyperlink" Target="https://www.health.gov.au/topics/food-and-nutrition/about/eating-well" TargetMode="External"/><Relationship Id="rId21" Type="http://schemas.openxmlformats.org/officeDocument/2006/relationships/hyperlink" Target="https://www.nhmrc.gov.au/about-us/publications/nutrient-reference-values-australia-and-new-zealand-including-recommended-dietary-intakes" TargetMode="External"/><Relationship Id="rId22" Type="http://schemas.openxmlformats.org/officeDocument/2006/relationships/hyperlink" Target="https://www.tga.gov.au/resources/guidance/understanding-how-we-regulate-software-based-medical-devices" TargetMode="External"/><Relationship Id="rId23" Type="http://schemas.openxmlformats.org/officeDocument/2006/relationships/hyperlink" Target="https://www.oaic.gov.au/privacy/privacy-legislation/the-privacy-act/health-and-and-medical-research" TargetMode="External"/><Relationship Id="rId24" Type="http://schemas.openxmlformats.org/officeDocument/2006/relationships/hyperlink" Target="https://www.oaic.gov.au/privacy/australian-privacy-principles/australian-privacy-principles-guidelines/chapter-8-app-8-cross-border-disclosure-of-personal-information" TargetMode="External"/><Relationship Id="rId25" Type="http://schemas.openxmlformats.org/officeDocument/2006/relationships/hyperlink" Target="https://www.healthdirect.gov.au/dietitians" TargetMode="External"/><Relationship Id="rId26" Type="http://schemas.openxmlformats.org/officeDocument/2006/relationships/hyperlink" Target="https://journals.sagepub.com/doi/10.1177/20552076221139091" TargetMode="External"/><Relationship Id="rId27" Type="http://schemas.openxmlformats.org/officeDocument/2006/relationships/hyperlink" Target="https://www.jmir.org/2024/1/e51432/" TargetMode="External"/><Relationship Id="rId28" Type="http://schemas.openxmlformats.org/officeDocument/2006/relationships/hyperlink" Target="https://apps.apple.com/au/app/easy-diet-diary/id436104108" TargetMode="External"/><Relationship Id="rId29" Type="http://schemas.openxmlformats.org/officeDocument/2006/relationships/hyperlink" Target="https://apps.apple.com/au/app/myfitnesspal-calorie-counter/id341232718" TargetMode="External"/><Relationship Id="rId30" Type="http://schemas.openxmlformats.org/officeDocument/2006/relationships/hyperlink" Target="https://apps.apple.com/au/app/foodswitch/id1059284559" TargetMode="External"/><Relationship Id="rId31" Type="http://schemas.openxmlformats.org/officeDocument/2006/relationships/hyperlink" Target="https://apps.apple.com/au/app/yuka-food-cosmetic-scanner/id10927992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澳洲饮食营养健康App可行性研究报告</dc:title>
  <dc:subject>市场、产品、数据、监管与商业可行性</dc:subject>
  <dc:creator>Codex</dc:creator>
  <cp:keywords>澳洲, 营养App, 薄荷健康, 可行性, 中餐, 双语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