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BEA19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Lunfrost霜月脑机协同概率模拟平台 V1.0 软件功能说明书</w:t>
      </w:r>
    </w:p>
    <w:p w14:paraId="157DD4E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一、软件基础信息</w:t>
      </w:r>
      <w:bookmarkEnd w:id="0"/>
    </w:p>
    <w:p w14:paraId="46B78286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软件名称</w:t>
      </w:r>
      <w:r>
        <w:rPr>
          <w:rFonts w:ascii="Arial" w:hAnsi="Arial" w:eastAsia="等线" w:cs="Arial"/>
          <w:sz w:val="22"/>
        </w:rPr>
        <w:t>：Lunfrost 霜月脑机协同概率模拟平台</w:t>
      </w:r>
    </w:p>
    <w:p w14:paraId="74B1EDD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开发语言</w:t>
      </w:r>
      <w:r>
        <w:rPr>
          <w:rFonts w:ascii="Arial" w:hAnsi="Arial" w:eastAsia="等线" w:cs="Arial"/>
          <w:sz w:val="22"/>
        </w:rPr>
        <w:t>：Python</w:t>
      </w:r>
    </w:p>
    <w:p w14:paraId="2B38CA2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运行环境</w:t>
      </w:r>
      <w:r>
        <w:rPr>
          <w:rFonts w:ascii="Arial" w:hAnsi="Arial" w:eastAsia="等线" w:cs="Arial"/>
          <w:sz w:val="22"/>
        </w:rPr>
        <w:t>：Windows 10/Windows 11（无需配置Python环境，双击EXE直接运行）</w:t>
      </w:r>
      <w:bookmarkStart w:id="15" w:name="_GoBack"/>
      <w:bookmarkEnd w:id="15"/>
    </w:p>
    <w:p w14:paraId="3397A55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：面向手部抓取抬举多阶段运动脑电信号，搭建10-20标准头皮电极可视化拓扑界面，实现</w:t>
      </w:r>
      <w:r>
        <w:rPr>
          <w:rFonts w:ascii="Arial" w:hAnsi="Arial" w:eastAsia="等线" w:cs="Arial"/>
          <w:b/>
          <w:sz w:val="22"/>
        </w:rPr>
        <w:t>正向动作概率推理、逆向关键电极筛选</w:t>
      </w:r>
      <w:r>
        <w:rPr>
          <w:rFonts w:ascii="Arial" w:hAnsi="Arial" w:eastAsia="等线" w:cs="Arial"/>
          <w:sz w:val="22"/>
        </w:rPr>
        <w:t>双向脑机协同仿真分析，适配运动意图脑电解码科研仿真场景</w:t>
      </w:r>
    </w:p>
    <w:p w14:paraId="08620AD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配套资源</w:t>
      </w:r>
      <w:r>
        <w:rPr>
          <w:rFonts w:ascii="Arial" w:hAnsi="Arial" w:eastAsia="等线" w:cs="Arial"/>
          <w:sz w:val="22"/>
        </w:rPr>
        <w:t>：内置脑电概率数据表、专属窗口图标、脑机拟人化界面图标，打包后全部资源内置，无需额外依赖文件</w:t>
      </w:r>
    </w:p>
    <w:p w14:paraId="2418989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BD04A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二、软件整体架构与界面分区说明</w:t>
      </w:r>
      <w:bookmarkEnd w:id="1"/>
    </w:p>
    <w:p w14:paraId="5B9E40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软件整体采用暗黑科技风UI，左右分栏布局，自适应窗口大小，支持自由缩放，整体分为三大功能区域：</w:t>
      </w:r>
    </w:p>
    <w:p w14:paraId="362786C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左侧主区域</w:t>
      </w:r>
      <w:r>
        <w:rPr>
          <w:rFonts w:ascii="Arial" w:hAnsi="Arial" w:eastAsia="等线" w:cs="Arial"/>
          <w:sz w:val="22"/>
        </w:rPr>
        <w:t>：10-20国际标准脑电电极空间拓扑可视化画布 + 电极搜索输入框 + 一键重置按钮 + 手势动作逆向勾选面板</w:t>
      </w:r>
    </w:p>
    <w:p w14:paraId="1142A846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右侧分栏区域</w:t>
      </w:r>
      <w:r>
        <w:rPr>
          <w:rFonts w:ascii="Arial" w:hAnsi="Arial" w:eastAsia="等线" w:cs="Arial"/>
          <w:sz w:val="22"/>
        </w:rPr>
        <w:t>：双标签页切换面板，分别对应正向动作诊断概率、逆向特异电极概率两大核心算法模块</w:t>
      </w:r>
    </w:p>
    <w:p w14:paraId="548C65C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全局交互特效</w:t>
      </w:r>
      <w:r>
        <w:rPr>
          <w:rFonts w:ascii="Arial" w:hAnsi="Arial" w:eastAsia="等线" w:cs="Arial"/>
          <w:sz w:val="22"/>
        </w:rPr>
        <w:t>：电极选中脉冲动画、脑机中枢连接线动态绘制、电极分级色彩高亮、窗口自适应缩放渲染</w:t>
      </w:r>
    </w:p>
    <w:p w14:paraId="3D5A7A1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3D637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三、核心功能模块详细说明</w:t>
      </w:r>
      <w:bookmarkEnd w:id="2"/>
    </w:p>
    <w:p w14:paraId="5630C774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模块1：10-20标准头皮电极全息拓扑可视化模块</w:t>
      </w:r>
      <w:bookmarkEnd w:id="3"/>
    </w:p>
    <w:p w14:paraId="43E420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本模块为软件底层可视化载体，严格复刻医学通用10-20脑电电极排布规范，完整还原全头皮29个脑电采集电极空间位置，替代枯燥原始电极表格，直观展示大脑额叶、中央区、顶叶、枕叶、颞叶全导联分布。</w:t>
      </w:r>
    </w:p>
    <w:p w14:paraId="36D3543F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细分功能：</w:t>
      </w:r>
      <w:bookmarkEnd w:id="4"/>
    </w:p>
    <w:p w14:paraId="08FF9E3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标准颅脑轮廓绘制</w:t>
      </w:r>
      <w:r>
        <w:rPr>
          <w:rFonts w:ascii="Arial" w:hAnsi="Arial" w:eastAsia="等线" w:cs="Arial"/>
          <w:sz w:val="22"/>
        </w:rPr>
        <w:t>：包含完整头颅外框、左右仿真人耳结构、头颅十字基准分割线、颅顶定位标记，高度还原真实头戴式脑电采集设备佩戴形态</w:t>
      </w:r>
    </w:p>
    <w:p w14:paraId="52B7FF9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专属脑机中枢锚点</w:t>
      </w:r>
      <w:r>
        <w:rPr>
          <w:rFonts w:ascii="Arial" w:hAnsi="Arial" w:eastAsia="等线" w:cs="Arial"/>
          <w:sz w:val="22"/>
        </w:rPr>
        <w:t>：界面右上方设置粉色星形中枢节点，模拟脑机接口信号中转核心，所有选中电极均会与中枢建立物理连线，直观体现</w:t>
      </w:r>
      <w:r>
        <w:rPr>
          <w:rFonts w:ascii="Arial" w:hAnsi="Arial" w:eastAsia="等线" w:cs="Arial"/>
          <w:b/>
          <w:sz w:val="22"/>
        </w:rPr>
        <w:t>脑-机信号协同传输</w:t>
      </w:r>
      <w:r>
        <w:rPr>
          <w:rFonts w:ascii="Arial" w:hAnsi="Arial" w:eastAsia="等线" w:cs="Arial"/>
          <w:sz w:val="22"/>
        </w:rPr>
        <w:t>逻辑</w:t>
      </w:r>
    </w:p>
    <w:p w14:paraId="14EA6EE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电极双状态视觉区分</w:t>
      </w:r>
    </w:p>
    <w:p w14:paraId="05B5F4F8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未选中电极：深灰底色、浅灰边框、灰色文字，低调默认样式</w:t>
      </w:r>
    </w:p>
    <w:p w14:paraId="49EBB302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选中电极：深蓝色填充、亮蓝色发光外光晕、黄色高亮文字，视觉强提醒</w:t>
      </w:r>
    </w:p>
    <w:p w14:paraId="12D6755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动态交互动画效果</w:t>
      </w:r>
      <w:r>
        <w:rPr>
          <w:rFonts w:ascii="Arial" w:hAnsi="Arial" w:eastAsia="等线" w:cs="Arial"/>
          <w:sz w:val="22"/>
        </w:rPr>
        <w:t>：点击电极触发扩散脉冲波纹动画，同时动态生成脑电信号连接线；取消电极自动删除对应连线，交互流畅贴合脑电信号传输逻辑</w:t>
      </w:r>
    </w:p>
    <w:p w14:paraId="0CABB6F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全局自适应缩放</w:t>
      </w:r>
      <w:r>
        <w:rPr>
          <w:rFonts w:ascii="Arial" w:hAnsi="Arial" w:eastAsia="等线" w:cs="Arial"/>
          <w:sz w:val="22"/>
        </w:rPr>
        <w:t>：拖拽拉伸软件窗口，电极布局、线条大小、文字字号、动画尺寸自动等比例适配，无界面错乱、无元素溢出问题</w:t>
      </w:r>
    </w:p>
    <w:p w14:paraId="1687AB15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模块2：电极手动选择+批量输入管理功能</w:t>
      </w:r>
      <w:bookmarkEnd w:id="5"/>
    </w:p>
    <w:p w14:paraId="4458CE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提供两种电极选择方式，兼顾鼠标可视化便捷操作与文本批量快速录入，适配不同使用习惯。</w:t>
      </w:r>
    </w:p>
    <w:p w14:paraId="39556E5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鼠标点击单选</w:t>
      </w:r>
      <w:r>
        <w:rPr>
          <w:rFonts w:ascii="Arial" w:hAnsi="Arial" w:eastAsia="等线" w:cs="Arial"/>
          <w:sz w:val="22"/>
        </w:rPr>
        <w:t>：直接点击画布上任意电极圆点，即可一键选中/取消对应导联，同步更新连线与文字状态栏</w:t>
      </w:r>
    </w:p>
    <w:p w14:paraId="4EF8C875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输入框批量录入</w:t>
      </w:r>
      <w:r>
        <w:rPr>
          <w:rFonts w:ascii="Arial" w:hAnsi="Arial" w:eastAsia="等线" w:cs="Arial"/>
          <w:sz w:val="22"/>
        </w:rPr>
        <w:t>：顶部输入框支持空格分隔，批量输入多组电极编号，一键批量选中对应导联，支持自动大小写匹配纠错</w:t>
      </w:r>
    </w:p>
    <w:p w14:paraId="6E6DA72B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一键重置功能</w:t>
      </w:r>
      <w:r>
        <w:rPr>
          <w:rFonts w:ascii="Arial" w:hAnsi="Arial" w:eastAsia="等线" w:cs="Arial"/>
          <w:sz w:val="22"/>
        </w:rPr>
        <w:t>：右侧RESET红色按钮，一键清空所有已选电极、删除全部信号连线、恢复界面初始状态</w:t>
      </w:r>
    </w:p>
    <w:p w14:paraId="3A1C1D7C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模块3：正向推理——多阶段手势动作概率诊断模块（核心算法1）</w:t>
      </w:r>
      <w:bookmarkEnd w:id="6"/>
    </w:p>
    <w:p w14:paraId="604751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模拟真实脑机接口正向解码流程：</w:t>
      </w:r>
      <w:r>
        <w:rPr>
          <w:rFonts w:ascii="Arial" w:hAnsi="Arial" w:eastAsia="等线" w:cs="Arial"/>
          <w:b/>
          <w:sz w:val="22"/>
        </w:rPr>
        <w:t>选中指定脑电电极 → 提取多导联协同特征 → 算法计算6类手部抓取动作识别概率</w:t>
      </w:r>
      <w:r>
        <w:rPr>
          <w:rFonts w:ascii="Arial" w:hAnsi="Arial" w:eastAsia="等线" w:cs="Arial"/>
          <w:sz w:val="22"/>
        </w:rPr>
        <w:t>，还原大脑信号到运动意图的正向解码全过程。</w:t>
      </w:r>
    </w:p>
    <w:p w14:paraId="2DA9F295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支持识别6类完整手部时序动作：</w:t>
      </w:r>
      <w:bookmarkEnd w:id="7"/>
    </w:p>
    <w:p w14:paraId="0B00C7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HandStart（手部启动）、FirstDigitTouch（首次手指触碰）、BothStartLoadPhase（双手受力加载）、LiftOff（手部抬离）、Replace（手部复位）、BothRelease（双手释放）</w:t>
      </w:r>
    </w:p>
    <w:p w14:paraId="01A37B99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功能逻辑：</w:t>
      </w:r>
      <w:bookmarkEnd w:id="8"/>
    </w:p>
    <w:p w14:paraId="0330A48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未选择任何电极时：6类动作概率平均分配，固定为16.67%，作为基准对照组</w:t>
      </w:r>
    </w:p>
    <w:p w14:paraId="05F8B1D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选择任意电极组合后：自动读取内置脑电概率数据集，通过均值归一化+Softmax概率回归算法，实时计算每一类动作的匹配概率</w:t>
      </w:r>
    </w:p>
    <w:p w14:paraId="79AA440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可视化展示：进度条实时动态变化，</w:t>
      </w:r>
      <w:r>
        <w:rPr>
          <w:rFonts w:ascii="Arial" w:hAnsi="Arial" w:eastAsia="等线" w:cs="Arial"/>
          <w:b/>
          <w:sz w:val="22"/>
        </w:rPr>
        <w:t>识别概率最高的动作进度条自动变为绿色高亮</w:t>
      </w:r>
      <w:r>
        <w:rPr>
          <w:rFonts w:ascii="Arial" w:hAnsi="Arial" w:eastAsia="等线" w:cs="Arial"/>
          <w:sz w:val="22"/>
        </w:rPr>
        <w:t>，直观输出当前电极组合最优识别结果</w:t>
      </w:r>
    </w:p>
    <w:p w14:paraId="4101567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顶部状态栏实时展示当前已选中的全部协同电极名称，方便实验溯源</w:t>
      </w:r>
    </w:p>
    <w:p w14:paraId="4B06682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模块4：逆向推理——目标动作特异电极筛选模块（核心算法2）</w:t>
      </w:r>
      <w:bookmarkEnd w:id="9"/>
    </w:p>
    <w:p w14:paraId="422F01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软件独创逆向推演功能，与正向推理形成闭环，实现</w:t>
      </w:r>
      <w:r>
        <w:rPr>
          <w:rFonts w:ascii="Arial" w:hAnsi="Arial" w:eastAsia="等线" w:cs="Arial"/>
          <w:b/>
          <w:sz w:val="22"/>
        </w:rPr>
        <w:t>已知运动意图，反向挖掘关键脑电电极</w:t>
      </w:r>
      <w:r>
        <w:rPr>
          <w:rFonts w:ascii="Arial" w:hAnsi="Arial" w:eastAsia="等线" w:cs="Arial"/>
          <w:sz w:val="22"/>
        </w:rPr>
        <w:t>，解决脑电实验中冗余导联过多、关键导联难以定位的痛点。</w:t>
      </w:r>
    </w:p>
    <w:p w14:paraId="6778BE26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功能逻辑：</w:t>
      </w:r>
      <w:bookmarkEnd w:id="10"/>
    </w:p>
    <w:p w14:paraId="2112C34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左下角勾选一个或多个目标手势动作，系统自动切换至逆向分析面板</w:t>
      </w:r>
    </w:p>
    <w:p w14:paraId="6FBF8D1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算法自动计算：目标动作正向权重、非目标动作负向抑制权重，通过差值排序筛选出对目标动作最敏感的8个关键脑电电极</w:t>
      </w:r>
    </w:p>
    <w:p w14:paraId="12CBFEAD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分级色彩可视化标注（同步同步更新头皮拓扑图）：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    </w:t>
      </w:r>
    </w:p>
    <w:p w14:paraId="264EE02D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TOP3核心关键电极：橙色进度条+拓扑图橙色填充高亮，代表该导联对目标动作</w:t>
      </w:r>
      <w:r>
        <w:rPr>
          <w:rFonts w:ascii="Arial" w:hAnsi="Arial" w:eastAsia="等线" w:cs="Arial"/>
          <w:b/>
          <w:sz w:val="22"/>
        </w:rPr>
        <w:t>贡献率极高</w:t>
      </w:r>
    </w:p>
    <w:p w14:paraId="3BD6EB44">
      <w:pPr>
        <w:numPr>
          <w:ilvl w:val="0"/>
          <w:numId w:val="2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4-8位次要关键电极：蓝色进度条+拓扑图蓝色填充高亮，代表该导联具备一定动作识别价值</w:t>
      </w:r>
    </w:p>
    <w:p w14:paraId="5A175C3A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用户手动选中的电极：始终保留原有蓝色选中高亮，优先级高于算法自动配色，避免界面冲突</w:t>
      </w:r>
    </w:p>
    <w:p w14:paraId="287955C3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实时展示8个关键电极对应贡献率百分比，数据直观可直接用于论文实验分析</w:t>
      </w:r>
    </w:p>
    <w:p w14:paraId="1B012D1E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模块5：内置数据兼容与离线容错机制</w:t>
      </w:r>
      <w:bookmarkEnd w:id="11"/>
    </w:p>
    <w:p w14:paraId="0D90768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内置专用脑电概率Excel数据集，打包EXE后资源内置，无需用户手动放置数据文件，开箱即用</w:t>
      </w:r>
    </w:p>
    <w:p w14:paraId="184E719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离线容错兜底：若数据文件异常丢失，软件自动随机生成符合脑电信号区间的基准概率数据，保证软件不会闪退、功能正常运行</w:t>
      </w:r>
    </w:p>
    <w:p w14:paraId="2CA43E3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打包路径自适应：完美适配PyInstaller单文件打包模式，图标、图片、数据表全部自动识别路径，无资源加载失败报错</w:t>
      </w:r>
    </w:p>
    <w:p w14:paraId="27FE03C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A276F0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四、软件运行操作步骤（极简流程）</w:t>
      </w:r>
      <w:bookmarkEnd w:id="12"/>
    </w:p>
    <w:p w14:paraId="3A5C5DC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双击 Lunfrost.exe 直接启动软件，无需安装、无需额外环境配置</w:t>
      </w:r>
    </w:p>
    <w:p w14:paraId="2EB9B0A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正向仿真操作</w:t>
      </w:r>
      <w:r>
        <w:rPr>
          <w:rFonts w:ascii="Arial" w:hAnsi="Arial" w:eastAsia="等线" w:cs="Arial"/>
          <w:sz w:val="22"/>
        </w:rPr>
        <w:t>：鼠标点击左侧头皮电极选择导联 → 右侧自动刷新6类动作识别概率，查看最优识别结果</w:t>
      </w:r>
    </w:p>
    <w:p w14:paraId="275E405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逆向仿真操作</w:t>
      </w:r>
      <w:r>
        <w:rPr>
          <w:rFonts w:ascii="Arial" w:hAnsi="Arial" w:eastAsia="等线" w:cs="Arial"/>
          <w:sz w:val="22"/>
        </w:rPr>
        <w:t>：左下角勾选目标手部动作 → 自动跳转逆向面板，查看TOP8关键电极，同时头皮图自动高亮关键导联位置</w:t>
      </w:r>
    </w:p>
    <w:p w14:paraId="518C097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点击RESET按钮，清空所有选择，复原界面初始状态，开展下一组仿真实验</w:t>
      </w:r>
    </w:p>
    <w:p w14:paraId="38A3C9B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1B83815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五、软件创新点与应用价值</w:t>
      </w:r>
      <w:bookmarkEnd w:id="13"/>
    </w:p>
    <w:p w14:paraId="3B32FA16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双向协同仿真闭环</w:t>
      </w:r>
      <w:r>
        <w:rPr>
          <w:rFonts w:ascii="Arial" w:hAnsi="Arial" w:eastAsia="等线" w:cs="Arial"/>
          <w:sz w:val="22"/>
        </w:rPr>
        <w:t>：同时支持正向动作解码、逆向关键导联筛选，区别于单一功能脑电可视化工具，完整复刻脑机接口信号交互逻辑</w:t>
      </w:r>
    </w:p>
    <w:p w14:paraId="38A5DC3C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高度贴合医学标准</w:t>
      </w:r>
      <w:r>
        <w:rPr>
          <w:rFonts w:ascii="Arial" w:hAnsi="Arial" w:eastAsia="等线" w:cs="Arial"/>
          <w:sz w:val="22"/>
        </w:rPr>
        <w:t>：严格遵循国际10-20脑电电极排布标准，符合脑电实验学术规范，可直接用于毕业设计演示、课程答辩、科研仿真展示</w:t>
      </w:r>
    </w:p>
    <w:p w14:paraId="6037BD32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高颜值沉浸式UI</w:t>
      </w:r>
      <w:r>
        <w:rPr>
          <w:rFonts w:ascii="Arial" w:hAnsi="Arial" w:eastAsia="等线" w:cs="Arial"/>
          <w:sz w:val="22"/>
        </w:rPr>
        <w:t>：暗黑科技风+动态动画特效+分级色彩标注，摆脱传统Python程序简陋界面，答辩演示视觉效果极佳</w:t>
      </w:r>
    </w:p>
    <w:p w14:paraId="6179D960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免部署开箱即用</w:t>
      </w:r>
      <w:r>
        <w:rPr>
          <w:rFonts w:ascii="Arial" w:hAnsi="Arial" w:eastAsia="等线" w:cs="Arial"/>
          <w:sz w:val="22"/>
        </w:rPr>
        <w:t>：打包为独立EXE可执行文件，Windows电脑直接运行，无代码依赖、无环境报错，适配答辩现场演示场景</w:t>
      </w:r>
    </w:p>
    <w:p w14:paraId="283BF3D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3D3B42C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六、注意事项</w:t>
      </w:r>
      <w:bookmarkEnd w:id="14"/>
    </w:p>
    <w:p w14:paraId="79B4A501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本软件为脑电信号概率仿真模拟平台，仅用于科研算法演示与可视化仿真，非医疗诊断设备，不可用于临床脑部检测</w:t>
      </w:r>
    </w:p>
    <w:p w14:paraId="774D80C0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软件支持窗口任意缩放，缩放过程中界面元素自动适配，不会出现布局错乱</w:t>
      </w:r>
    </w:p>
    <w:p w14:paraId="061A41C3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关闭软件直接点击窗口右上角关闭按钮即可，无后台残留进程</w:t>
      </w:r>
    </w:p>
    <w:p w14:paraId="4AD687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软件落款</w:t>
      </w:r>
      <w:r>
        <w:rPr>
          <w:rFonts w:ascii="Arial" w:hAnsi="Arial" w:eastAsia="等线" w:cs="Arial"/>
          <w:sz w:val="22"/>
        </w:rPr>
        <w:t>：Lunfrost 霜月脑机协同概率模拟平台 V1.0</w:t>
      </w:r>
    </w:p>
    <w:p w14:paraId="04F69F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发布日期</w:t>
      </w:r>
      <w:r>
        <w:rPr>
          <w:rFonts w:ascii="Arial" w:hAnsi="Arial" w:eastAsia="等线" w:cs="Arial"/>
          <w:sz w:val="22"/>
        </w:rPr>
        <w:t>：2026年06月17日</w:t>
      </w:r>
    </w:p>
    <w:p w14:paraId="7AC91B3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B78F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8F6B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E923771"/>
    <w:multiLevelType w:val="singleLevel"/>
    <w:tmpl w:val="BE92377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8879AEF"/>
    <w:multiLevelType w:val="singleLevel"/>
    <w:tmpl w:val="C8879A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D94DA66"/>
    <w:multiLevelType w:val="singleLevel"/>
    <w:tmpl w:val="4D94DA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629F7852"/>
    <w:multiLevelType w:val="singleLevel"/>
    <w:tmpl w:val="629F785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77ECEA79"/>
    <w:multiLevelType w:val="singleLevel"/>
    <w:tmpl w:val="77ECEA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0">
    <w:nsid w:val="79AA4FA4"/>
    <w:multiLevelType w:val="singleLevel"/>
    <w:tmpl w:val="79AA4FA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1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19"/>
  </w:num>
  <w:num w:numId="2">
    <w:abstractNumId w:val="13"/>
  </w:num>
  <w:num w:numId="3">
    <w:abstractNumId w:val="34"/>
  </w:num>
  <w:num w:numId="4">
    <w:abstractNumId w:val="11"/>
  </w:num>
  <w:num w:numId="5">
    <w:abstractNumId w:val="7"/>
  </w:num>
  <w:num w:numId="6">
    <w:abstractNumId w:val="21"/>
  </w:num>
  <w:num w:numId="7">
    <w:abstractNumId w:val="25"/>
  </w:num>
  <w:num w:numId="8">
    <w:abstractNumId w:val="38"/>
  </w:num>
  <w:num w:numId="9">
    <w:abstractNumId w:val="20"/>
  </w:num>
  <w:num w:numId="10">
    <w:abstractNumId w:val="3"/>
  </w:num>
  <w:num w:numId="11">
    <w:abstractNumId w:val="26"/>
  </w:num>
  <w:num w:numId="12">
    <w:abstractNumId w:val="35"/>
  </w:num>
  <w:num w:numId="13">
    <w:abstractNumId w:val="12"/>
  </w:num>
  <w:num w:numId="14">
    <w:abstractNumId w:val="31"/>
  </w:num>
  <w:num w:numId="15">
    <w:abstractNumId w:val="17"/>
  </w:num>
  <w:num w:numId="16">
    <w:abstractNumId w:val="24"/>
  </w:num>
  <w:num w:numId="17">
    <w:abstractNumId w:val="15"/>
  </w:num>
  <w:num w:numId="18">
    <w:abstractNumId w:val="14"/>
  </w:num>
  <w:num w:numId="19">
    <w:abstractNumId w:val="5"/>
  </w:num>
  <w:num w:numId="20">
    <w:abstractNumId w:val="30"/>
  </w:num>
  <w:num w:numId="21">
    <w:abstractNumId w:val="36"/>
  </w:num>
  <w:num w:numId="22">
    <w:abstractNumId w:val="22"/>
  </w:num>
  <w:num w:numId="23">
    <w:abstractNumId w:val="29"/>
  </w:num>
  <w:num w:numId="24">
    <w:abstractNumId w:val="6"/>
  </w:num>
  <w:num w:numId="25">
    <w:abstractNumId w:val="41"/>
  </w:num>
  <w:num w:numId="26">
    <w:abstractNumId w:val="39"/>
  </w:num>
  <w:num w:numId="27">
    <w:abstractNumId w:val="10"/>
  </w:num>
  <w:num w:numId="28">
    <w:abstractNumId w:val="37"/>
  </w:num>
  <w:num w:numId="29">
    <w:abstractNumId w:val="4"/>
  </w:num>
  <w:num w:numId="30">
    <w:abstractNumId w:val="28"/>
  </w:num>
  <w:num w:numId="31">
    <w:abstractNumId w:val="1"/>
  </w:num>
  <w:num w:numId="32">
    <w:abstractNumId w:val="33"/>
  </w:num>
  <w:num w:numId="33">
    <w:abstractNumId w:val="42"/>
  </w:num>
  <w:num w:numId="34">
    <w:abstractNumId w:val="0"/>
  </w:num>
  <w:num w:numId="35">
    <w:abstractNumId w:val="23"/>
  </w:num>
  <w:num w:numId="36">
    <w:abstractNumId w:val="32"/>
  </w:num>
  <w:num w:numId="37">
    <w:abstractNumId w:val="18"/>
  </w:num>
  <w:num w:numId="38">
    <w:abstractNumId w:val="16"/>
  </w:num>
  <w:num w:numId="39">
    <w:abstractNumId w:val="27"/>
  </w:num>
  <w:num w:numId="40">
    <w:abstractNumId w:val="40"/>
  </w:num>
  <w:num w:numId="41">
    <w:abstractNumId w:val="9"/>
  </w:num>
  <w:num w:numId="42">
    <w:abstractNumId w:val="2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EEB3A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2492</Words>
  <Characters>2725</Characters>
  <TotalTime>1</TotalTime>
  <ScaleCrop>false</ScaleCrop>
  <LinksUpToDate>false</LinksUpToDate>
  <CharactersWithSpaces>2764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2026-06-17T12:16:00Z</dcterms:created>
  <dc:creator>Apache POI</dc:creator>
  <cp:lastModifiedBy>胡靖阳</cp:lastModifiedBy>
  <dcterms:modified xsi:type="dcterms:W3CDTF">2026-06-17T12:39:06Z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{"Label":"1","ContentProducer":"001191110102MACQD9K64010000","ProduceID":"7652337224118553554","ReservedCode1":"","ContentPropagator":"","PropagateID":"","ReservedCode2":""}</vt:lpwstr>
  </property>
  <property fmtid="{D5CDD505-2E9C-101B-9397-08002B2CF9AE}" pid="3" name="KSOTemplateDocerSaveRecord">
    <vt:lpwstr>eyJoZGlkIjoiZmRlNzU0OTM5MDQzMTA5MzZkY2UyMzlkYWRjMTU5ODQiLCJ1c2VySWQiOiIxNjg2NTcxMTg4In0=</vt:lpwstr>
  </property>
  <property fmtid="{D5CDD505-2E9C-101B-9397-08002B2CF9AE}" pid="4" name="KSOProductBuildVer">
    <vt:lpwstr>2052-12.1.0.26895</vt:lpwstr>
  </property>
  <property fmtid="{D5CDD505-2E9C-101B-9397-08002B2CF9AE}" pid="5" name="ICV">
    <vt:lpwstr>730CAC1DF15B458C9D030F8EC877A2F4_12</vt:lpwstr>
  </property>
</Properties>
</file>