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08D57"/>
          <w:spacing w:val="40"/>
          <w:sz w:val="22"/>
          <w:szCs w:val="22"/>
        </w:rPr>
        <w:t xml:space="preserve">STRATEGIC ASSET ALLOCATION</w:t>
      </w:r>
    </w:p>
    <w:p>
      <w:pPr>
        <w:spacing w:after="100" w:before="200"/>
        <w:jc w:val="center"/>
      </w:pPr>
      <w:r>
        <w:rPr>
          <w:rFonts w:ascii="Georgia" w:cs="Georgia" w:eastAsia="Georgia" w:hAnsi="Georgia"/>
          <w:b/>
          <w:bCs/>
          <w:color w:val="1F2A44"/>
          <w:sz w:val="56"/>
          <w:szCs w:val="56"/>
        </w:rPr>
        <w:t xml:space="preserve">Portfolio Thesis &amp; Rationale</w:t>
      </w:r>
    </w:p>
    <w:p>
      <w:pPr>
        <w:pBdr>
          <w:bottom w:val="single" w:color="B08D57" w:sz="8" w:space="12"/>
        </w:pBdr>
        <w:spacing w:after="600" w:before="100"/>
        <w:jc w:val="center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Prepared by Michael  |  Personal Investment Program</w:t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This document explains the reasoning behind each position in the portfolio — not a performance projection.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Weights are pending mean-variance optimization; this covers selection and tilt logic only.</w:t>
      </w:r>
    </w:p>
    <w:p>
      <w:r>
        <w:br/>
        <w:t xml:space="preserv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2A44"/>
          <w:sz w:val="30"/>
          <w:szCs w:val="30"/>
        </w:rPr>
        <w:t xml:space="preserve">Investment Philosophy</w:t>
      </w:r>
    </w:p>
    <w:p>
      <w:pPr>
        <w:spacing w:after="14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portfolio is built around one central concern: that a meaningful share of index-level equity returns over the past several years has been driven by a narrow group of mega-cap, AI-linked names trading on the assumption that heavy capital expenditure translates into durable earnings growth. The strategy does not attempt to time a crash — it attempts to reduce unnecessary concentration in that specific risk while staying fully invested.</w:t>
      </w:r>
    </w:p>
    <w:p>
      <w:pPr>
        <w:spacing w:after="14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Three positioning decisions follow from that concern, plus one independent view on interest rates: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Equity structure leans toward value and small-cap value, which are structurally underweight the mega-cap growth names carrying the most AI-capex risk.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Fixed income is positioned short-duration (floating rate) rather than long-duration, reflecting a view that further central bank hikes are more likely than cuts through 2027.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small real-assets sleeve (gold) is held specifically as tail protection against an inflationary or supply-shock-driven drawdown — the kind of environment where long government bonds historically have not helped, but gold has.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Two legacy positions (CAPREIT, VOLX) remain from prior decisions and are flagged for separate review rather than folded into this thesis, since neither currently has a stated rationale consistent with the rest of the book.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2A44"/>
          <w:sz w:val="30"/>
          <w:szCs w:val="30"/>
        </w:rPr>
        <w:t xml:space="preserve">Key Assumptions</w:t>
      </w:r>
    </w:p>
    <w:p>
      <w:pPr>
        <w:spacing w:after="14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Every position in this book traces back to one of the assumptions below. None of these are certainties — they are the specific, falsifiable views this portfolio is betting on. Each is stated with the condition under which it would prove wrong, so that underperformance in a given sleeve can be diagnosed rather than reflexively explained away.</w:t>
      </w:r>
    </w:p>
    <w:tbl>
      <w:tblPr>
        <w:tblW w:type="dxa" w:w="93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4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426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breaks if wrong</w:t>
            </w:r>
          </w:p>
        </w:tc>
      </w:tr>
      <w:tr>
        <w:tc>
          <w:tcPr>
            <w:tcW w:type="dxa" w:w="17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Rate path</w:t>
            </w:r>
          </w:p>
        </w:tc>
        <w:tc>
          <w:tcPr>
            <w:tcW w:type="dxa" w:w="34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The Fed and BoC are more likely to hike than cut through 2027, given persistent economic strength.</w:t>
            </w:r>
          </w:p>
        </w:tc>
        <w:tc>
          <w:tcPr>
            <w:tcW w:type="dxa" w:w="42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2"/>
                <w:sz w:val="19"/>
                <w:szCs w:val="19"/>
              </w:rPr>
              <w:t xml:space="preserve">Drives the choice of floating-rate exposure over long-duration bonds; if wrong, the FRN sleeve forgoes the capital appreciation long bonds would deliver in a cutting cycle.</w:t>
            </w:r>
          </w:p>
        </w:tc>
      </w:tr>
      <w:tr>
        <w:tc>
          <w:tcPr>
            <w:tcW w:type="dxa" w:w="17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Equity concentration</w:t>
            </w:r>
          </w:p>
        </w:tc>
        <w:tc>
          <w:tcPr>
            <w:tcW w:type="dxa" w:w="34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A significant share of AI/mega-cap-tech capex will not translate into earnings that justify current valuations.</w:t>
            </w:r>
          </w:p>
        </w:tc>
        <w:tc>
          <w:tcPr>
            <w:tcW w:type="dxa" w:w="42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2"/>
                <w:sz w:val="19"/>
                <w:szCs w:val="19"/>
              </w:rPr>
              <w:t xml:space="preserve">Justifies value and small-cap value tilts; if wrong, tilting away from the names driving index returns is a direct performance drag, not a free hedge.</w:t>
            </w:r>
          </w:p>
        </w:tc>
      </w:tr>
      <w:tr>
        <w:tc>
          <w:tcPr>
            <w:tcW w:type="dxa" w:w="17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Regime match for tail hedge</w:t>
            </w:r>
          </w:p>
        </w:tc>
        <w:tc>
          <w:tcPr>
            <w:tcW w:type="dxa" w:w="34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The named tail risks (AI-capex unwind, Taiwan/geopolitical shock) resemble inflationary or supply-shock regimes rather than deflationary growth scares.</w:t>
            </w:r>
          </w:p>
        </w:tc>
        <w:tc>
          <w:tcPr>
            <w:tcW w:type="dxa" w:w="42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2"/>
                <w:sz w:val="19"/>
                <w:szCs w:val="19"/>
              </w:rPr>
              <w:t xml:space="preserve">Justifies gold over long treasuries as the crash hedge; if a plain deflationary recession hits instead, this portfolio has no asset positioned to rally — FRN and cash simply hold steady.</w:t>
            </w:r>
          </w:p>
        </w:tc>
      </w:tr>
      <w:tr>
        <w:tc>
          <w:tcPr>
            <w:tcW w:type="dxa" w:w="17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Hedging cost</w:t>
            </w:r>
          </w:p>
        </w:tc>
        <w:tc>
          <w:tcPr>
            <w:tcW w:type="dxa" w:w="34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FX hedging cost reflects a fair, rate-differential-driven price (covered interest parity), not a value-destructive drag.</w:t>
            </w:r>
          </w:p>
        </w:tc>
        <w:tc>
          <w:tcPr>
            <w:tcW w:type="dxa" w:w="42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2"/>
                <w:sz w:val="19"/>
                <w:szCs w:val="19"/>
              </w:rPr>
              <w:t xml:space="preserve">Supports holding the USD equity sleeve unhedged for currency-return upside without treating hedging itself as a loss to avoid elsewhere.</w:t>
            </w:r>
          </w:p>
        </w:tc>
      </w:tr>
      <w:tr>
        <w:tc>
          <w:tcPr>
            <w:tcW w:type="dxa" w:w="17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Home bias / tax treatment</w:t>
            </w:r>
          </w:p>
        </w:tc>
        <w:tc>
          <w:tcPr>
            <w:tcW w:type="dxa" w:w="34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TSX exposure is retained primarily for after-tax efficiency (Canada-US treaty withholding exemption on US dividends applies inside an RRSP, not a TFSA/FHSA), not for a return view on Canadian equities.</w:t>
            </w:r>
          </w:p>
        </w:tc>
        <w:tc>
          <w:tcPr>
            <w:tcW w:type="dxa" w:w="42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2"/>
                <w:sz w:val="19"/>
                <w:szCs w:val="19"/>
              </w:rPr>
              <w:t xml:space="preserve">If this location logic isn't actually implemented in practice (i.e., US equities aren't held in the RRSP), the TSX position reduces to uncompensated home-country and financial-sector concentration risk — notable given employment in Canadian financial services.</w:t>
            </w:r>
          </w:p>
        </w:tc>
      </w:tr>
      <w:tr>
        <w:tc>
          <w:tcPr>
            <w:tcW w:type="dxa" w:w="17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Cash proxy</w:t>
            </w:r>
          </w:p>
        </w:tc>
        <w:tc>
          <w:tcPr>
            <w:tcW w:type="dxa" w:w="34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CASH.TO is used only as a modeling proxy with a clean NAV history for mean-variance analysis; it is not necessarily the intended live vehicle.</w:t>
            </w:r>
          </w:p>
        </w:tc>
        <w:tc>
          <w:tcPr>
            <w:tcW w:type="dxa" w:w="42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472"/>
                <w:sz w:val="19"/>
                <w:szCs w:val="19"/>
              </w:rPr>
              <w:t xml:space="preserve">Live cash should be routed to whichever real HISA/ISA rate is actually best at the time of funding, not assumed to equal CASH.TO's yield.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2A44"/>
          <w:sz w:val="30"/>
          <w:szCs w:val="30"/>
        </w:rPr>
        <w:t xml:space="preserve">Portfolio Structure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Fixed Income</w:t>
      </w:r>
    </w:p>
    <w:tbl>
      <w:tblPr>
        <w:tblW w:type="dxa" w:w="93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Holding</w:t>
            </w:r>
          </w:p>
        </w:tc>
        <w:tc>
          <w:tcPr>
            <w:tcW w:type="dxa" w:w="15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06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XFR — iShares Floating Rate Index ETF</w:t>
            </w:r>
          </w:p>
        </w:tc>
        <w:tc>
          <w:tcPr>
            <w:tcW w:type="dxa" w:w="15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Rate hedge</w:t>
            </w:r>
          </w:p>
        </w:tc>
        <w:tc>
          <w:tcPr>
            <w:tcW w:type="dxa" w:w="60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Coupon resets with short-term rates, keeping duration near zero. Chosen specifically because the portfolio's rate view (hikes more likely than cuts through 2027) makes long-duration bonds a headwind rather than a hedge — a 75bp hike can cost a 15+yr bond roughly 12% in price, an effect FRN essentially avoids.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CASH.TO — proxy for HISA/ISA</w:t>
            </w:r>
          </w:p>
        </w:tc>
        <w:tc>
          <w:tcPr>
            <w:tcW w:type="dxa" w:w="15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Liquidity / modeling proxy</w:t>
            </w:r>
          </w:p>
        </w:tc>
        <w:tc>
          <w:tcPr>
            <w:tcW w:type="dxa" w:w="60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Represents excess cash held for flexibility, not return. Used in place of a bank ISA purely because it has a tradeable price history needed for the mean-variance and factor regression work; the live cash vehicle should be selected on best available rate at the time, separately from this model.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Equities</w:t>
      </w:r>
    </w:p>
    <w:tbl>
      <w:tblPr>
        <w:tblW w:type="dxa" w:w="93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Holding</w:t>
            </w:r>
          </w:p>
        </w:tc>
        <w:tc>
          <w:tcPr>
            <w:tcW w:type="dxa" w:w="15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06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XUU — iShares Core S&amp;P U.S. Total Market</w:t>
            </w:r>
          </w:p>
        </w:tc>
        <w:tc>
          <w:tcPr>
            <w:tcW w:type="dxa" w:w="15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Core US beta</w:t>
            </w:r>
          </w:p>
        </w:tc>
        <w:tc>
          <w:tcPr>
            <w:tcW w:type="dxa" w:w="60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Broad exposure (~3,500 names) to US equities, more diluted than the S&amp;P 500 alone — the baseline exposure that the value tilts below are deliberately offsetting.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VTV — Vanguard Value ETF</w:t>
            </w:r>
          </w:p>
        </w:tc>
        <w:tc>
          <w:tcPr>
            <w:tcW w:type="dxa" w:w="15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Concentration offset</w:t>
            </w:r>
          </w:p>
        </w:tc>
        <w:tc>
          <w:tcPr>
            <w:tcW w:type="dxa" w:w="60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Screens for statistically cheap large caps, structurally underweight the mega-cap growth names carrying the bulk of AI-capex risk. This is the primary tool addressing the portfolio's core concern.</w:t>
            </w:r>
          </w:p>
        </w:tc>
      </w:tr>
      <w:tr>
        <w:tc>
          <w:tcPr>
            <w:tcW w:type="dxa" w:w="18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AVUV — Avantis U.S. Small Cap Value</w:t>
            </w:r>
          </w:p>
        </w:tc>
        <w:tc>
          <w:tcPr>
            <w:tcW w:type="dxa" w:w="15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Concentration offset</w:t>
            </w:r>
          </w:p>
        </w:tc>
        <w:tc>
          <w:tcPr>
            <w:tcW w:type="dxa" w:w="60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Small-cap value is, if anything, a cleaner expression of "underweight mega-cap AI names" than VTV, since small caps exclude the trillion-dollar names entirely by definition.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XIC — iShares Core S&amp;P/TSX Capped Composite</w:t>
            </w:r>
          </w:p>
        </w:tc>
        <w:tc>
          <w:tcPr>
            <w:tcW w:type="dxa" w:w="15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Tax-efficient CAD equity</w:t>
            </w:r>
          </w:p>
        </w:tc>
        <w:tc>
          <w:tcPr>
            <w:tcW w:type="dxa" w:w="60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Held primarily for asset-location efficiency: Canadian equity dividends avoid the US withholding tax drag that applies to US-listed holdings in a TFSA/FHSA. Not held on a standalone conviction that Canadian equities will outperform.</w:t>
            </w:r>
          </w:p>
        </w:tc>
      </w:tr>
      <w:tr>
        <w:tc>
          <w:tcPr>
            <w:tcW w:type="dxa" w:w="18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VIU — Vanguard FTSE Developed ex-North America</w:t>
            </w:r>
          </w:p>
        </w:tc>
        <w:tc>
          <w:tcPr>
            <w:tcW w:type="dxa" w:w="15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Geographic diversification</w:t>
            </w:r>
          </w:p>
        </w:tc>
        <w:tc>
          <w:tcPr>
            <w:tcW w:type="dxa" w:w="60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International developed exposure with materially less AI-capex concentration than the US market — diversifies the portfolio's core concern by geography as well as by factor.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VEE — Vanguard FTSE Emerging Markets</w:t>
            </w:r>
          </w:p>
        </w:tc>
        <w:tc>
          <w:tcPr>
            <w:tcW w:type="dxa" w:w="15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Geographic diversification</w:t>
            </w:r>
          </w:p>
        </w:tc>
        <w:tc>
          <w:tcPr>
            <w:tcW w:type="dxa" w:w="60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Emerging market exposure, same diversification logic as VIU, extended to a growth profile largely independent of US mega-cap tech capex cycles.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Real Assets</w:t>
      </w:r>
    </w:p>
    <w:tbl>
      <w:tblPr>
        <w:tblW w:type="dxa" w:w="93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Holding</w:t>
            </w:r>
          </w:p>
        </w:tc>
        <w:tc>
          <w:tcPr>
            <w:tcW w:type="dxa" w:w="15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06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CGL — iShares Gold Bullion ETF</w:t>
            </w:r>
          </w:p>
        </w:tc>
        <w:tc>
          <w:tcPr>
            <w:tcW w:type="dxa" w:w="15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Tail hedge</w:t>
            </w:r>
          </w:p>
        </w:tc>
        <w:tc>
          <w:tcPr>
            <w:tcW w:type="dxa" w:w="60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Sized as a small position specifically for an inflationary or supply-shock-driven drawdown (an AI-capex unwind that hits credit markets, or a Taiwan-related semiconductor shock) — scenarios where gold has historically performed (1970s stagflation, 2022) and long government bonds have historically failed. Not held as a general "diversifier."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Legacy Positions — Not Yet Justified</w:t>
      </w:r>
    </w:p>
    <w:p>
      <w:pPr>
        <w:spacing w:after="14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These two holdings predate this thesis and have not been reconciled with it. They are carried forward as-is, flagged for a separate review rather than retrofitted with a rationale they haven't earned.</w:t>
      </w:r>
    </w:p>
    <w:tbl>
      <w:tblPr>
        <w:tblW w:type="dxa" w:w="93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Holding</w:t>
            </w:r>
          </w:p>
        </w:tc>
        <w:tc>
          <w:tcPr>
            <w:tcW w:type="dxa" w:w="150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060"/>
            <w:shd w:fill="1F2A44" w:color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CAPREIT</w:t>
            </w:r>
          </w:p>
        </w:tc>
        <w:tc>
          <w:tcPr>
            <w:tcW w:type="dxa" w:w="150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3A32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6060"/>
            <w:shd w:fill="F2F1ED" w:color="F2F1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Single-name real estate equity carried from a prior decision. Introduces uncompensated, idiosyncratic stock risk into what is otherwise an index-based book. No thesis has yet been stated that is consistent with the rest of this portfolio's logic.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VOLX</w:t>
            </w:r>
          </w:p>
        </w:tc>
        <w:tc>
          <w:tcPr>
            <w:tcW w:type="dxa" w:w="150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3A32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6060"/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VIX-linked exposure. These products typically decay in normal (contango) markets, making them expensive to hold continuously as a passive hedge rather than a tactical trade. If intended as tail protection, it may be duplicating the role gold is already assigned — worth resolving before sizing either.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F2A44"/>
          <w:sz w:val="30"/>
          <w:szCs w:val="30"/>
        </w:rPr>
        <w:t xml:space="preserve">What This Portfolio Does Not Cover</w:t>
      </w:r>
    </w:p>
    <w:p>
      <w:pPr>
        <w:spacing w:after="14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pitch is more useful when it's honest about its blind spots. This structure has one clear gap worth stating plainly: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 asset in this book is positioned to rally in a classic deflationary recession or credit event — the scenario where long government bonds have historically been the strongest hedge (2008, COVID, late-2018). FRN and cash preserve capital in that scenario; gold has historically been a mixed-to-poor hedge in the acute phase of exactly this kind of shock. This portfolio is deliberately concentrated on inflation/supply-shock tail risk and mega-cap concentration risk — not on generic recession insurance.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This is a defensible choice for a multi-decade horizon where time itself absorbs a standard growth-scare drawdown — but it is a choice, not an oversight, and should be revisited if the stated rate or concentration views change materially.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2026-07-03T23:57:31.239Z</dcterms:created>
  <dcterms:modified xsi:type="dcterms:W3CDTF">2026-07-03T23:57:31.239Z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