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5801E" w14:textId="6C3DC568" w:rsidR="00EC197F" w:rsidRDefault="004C309B">
      <w:pPr>
        <w:rPr>
          <w:b/>
          <w:noProof/>
        </w:rPr>
      </w:pPr>
      <w:r w:rsidRPr="004C309B">
        <w:rPr>
          <w:b/>
          <w:noProof/>
        </w:rPr>
        <w:t>Fa</w:t>
      </w:r>
      <w:r w:rsidR="00F235D8">
        <w:rPr>
          <w:b/>
          <w:noProof/>
        </w:rPr>
        <w:t>ç</w:t>
      </w:r>
      <w:r w:rsidRPr="004C309B">
        <w:rPr>
          <w:b/>
          <w:noProof/>
        </w:rPr>
        <w:t>ade</w:t>
      </w:r>
      <w:r w:rsidR="00F235D8">
        <w:rPr>
          <w:b/>
          <w:noProof/>
        </w:rPr>
        <w:t xml:space="preserve"> p</w:t>
      </w:r>
      <w:r w:rsidRPr="004C309B">
        <w:rPr>
          <w:b/>
          <w:noProof/>
        </w:rPr>
        <w:t>attern</w:t>
      </w:r>
    </w:p>
    <w:p w14:paraId="30E57DFF" w14:textId="36D30B86" w:rsidR="00430B48" w:rsidRPr="00F71997" w:rsidRDefault="00C22E86">
      <w:pPr>
        <w:rPr>
          <w:rFonts w:cstheme="minorHAnsi"/>
          <w:b/>
          <w:noProof/>
        </w:rPr>
      </w:pPr>
      <w:r w:rsidRPr="009479DC">
        <w:rPr>
          <w:rFonts w:cstheme="minorHAnsi"/>
          <w:color w:val="222222"/>
          <w:sz w:val="21"/>
          <w:szCs w:val="21"/>
          <w:shd w:val="clear" w:color="auto" w:fill="FFFFFF"/>
        </w:rPr>
        <w:t xml:space="preserve">Il </w:t>
      </w:r>
      <w:proofErr w:type="spellStart"/>
      <w:r w:rsidRPr="009479DC">
        <w:rPr>
          <w:rFonts w:cstheme="minorHAnsi"/>
          <w:color w:val="222222"/>
          <w:sz w:val="21"/>
          <w:szCs w:val="21"/>
          <w:shd w:val="clear" w:color="auto" w:fill="FFFFFF"/>
        </w:rPr>
        <w:t>Fa</w:t>
      </w:r>
      <w:r w:rsidR="00F235D8">
        <w:rPr>
          <w:rFonts w:cstheme="minorHAnsi"/>
          <w:color w:val="222222"/>
          <w:sz w:val="21"/>
          <w:szCs w:val="21"/>
          <w:shd w:val="clear" w:color="auto" w:fill="FFFFFF"/>
        </w:rPr>
        <w:t>ç</w:t>
      </w:r>
      <w:r w:rsidRPr="009479DC">
        <w:rPr>
          <w:rFonts w:cstheme="minorHAnsi"/>
          <w:color w:val="222222"/>
          <w:sz w:val="21"/>
          <w:szCs w:val="21"/>
          <w:shd w:val="clear" w:color="auto" w:fill="FFFFFF"/>
        </w:rPr>
        <w:t>ade</w:t>
      </w:r>
      <w:proofErr w:type="spellEnd"/>
      <w:r w:rsidR="00F235D8">
        <w:rPr>
          <w:rFonts w:cstheme="minorHAnsi"/>
          <w:color w:val="222222"/>
          <w:sz w:val="21"/>
          <w:szCs w:val="21"/>
          <w:shd w:val="clear" w:color="auto" w:fill="FFFFFF"/>
        </w:rPr>
        <w:t xml:space="preserve"> p</w:t>
      </w:r>
      <w:r w:rsidRPr="009479DC">
        <w:rPr>
          <w:rFonts w:cstheme="minorHAnsi"/>
          <w:color w:val="222222"/>
          <w:sz w:val="21"/>
          <w:szCs w:val="21"/>
          <w:shd w:val="clear" w:color="auto" w:fill="FFFFFF"/>
        </w:rPr>
        <w:t>attern</w:t>
      </w:r>
      <w:r w:rsidR="00271CDF">
        <w:rPr>
          <w:rFonts w:cstheme="minorHAnsi"/>
          <w:color w:val="222222"/>
          <w:sz w:val="21"/>
          <w:szCs w:val="21"/>
          <w:shd w:val="clear" w:color="auto" w:fill="FFFFFF"/>
        </w:rPr>
        <w:t xml:space="preserve"> è un pattern strutturale</w:t>
      </w:r>
      <w:r w:rsidR="00CF203A">
        <w:rPr>
          <w:rFonts w:cstheme="minorHAnsi"/>
          <w:color w:val="222222"/>
          <w:sz w:val="21"/>
          <w:szCs w:val="21"/>
          <w:shd w:val="clear" w:color="auto" w:fill="FFFFFF"/>
        </w:rPr>
        <w:t xml:space="preserve"> che</w:t>
      </w:r>
      <w:r w:rsidRPr="009479DC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BA0509" w:rsidRPr="009479DC">
        <w:rPr>
          <w:rFonts w:cstheme="minorHAnsi"/>
          <w:color w:val="222222"/>
          <w:sz w:val="21"/>
          <w:szCs w:val="21"/>
          <w:shd w:val="clear" w:color="auto" w:fill="FFFFFF"/>
        </w:rPr>
        <w:t>indica un oggetto che permette, attraverso un'interfaccia più semplice, l'accesso a sottosistemi che espongono interfacce complesse e molto diverse tra loro</w:t>
      </w:r>
      <w:r w:rsidRPr="009479DC">
        <w:rPr>
          <w:rFonts w:cstheme="minorHAnsi"/>
          <w:color w:val="222222"/>
          <w:sz w:val="21"/>
          <w:szCs w:val="21"/>
          <w:shd w:val="clear" w:color="auto" w:fill="FFFFFF"/>
        </w:rPr>
        <w:t xml:space="preserve">. Molto utile per ridurre l’accoppiamento </w:t>
      </w:r>
      <w:r w:rsidR="009479DC" w:rsidRPr="009479DC">
        <w:rPr>
          <w:rFonts w:cstheme="minorHAnsi"/>
          <w:color w:val="222222"/>
          <w:sz w:val="21"/>
          <w:szCs w:val="21"/>
          <w:shd w:val="clear" w:color="auto" w:fill="FFFFFF"/>
        </w:rPr>
        <w:t xml:space="preserve">e per realizzare </w:t>
      </w:r>
      <w:proofErr w:type="gramStart"/>
      <w:r w:rsidR="009479DC" w:rsidRPr="009479DC">
        <w:rPr>
          <w:rFonts w:cstheme="minorHAnsi"/>
          <w:color w:val="222222"/>
          <w:sz w:val="21"/>
          <w:szCs w:val="21"/>
          <w:shd w:val="clear" w:color="auto" w:fill="FFFFFF"/>
        </w:rPr>
        <w:t>un</w:t>
      </w:r>
      <w:r w:rsidR="00BD4399">
        <w:rPr>
          <w:rFonts w:cstheme="minorHAnsi"/>
          <w:color w:val="222222"/>
          <w:sz w:val="21"/>
          <w:szCs w:val="21"/>
          <w:shd w:val="clear" w:color="auto" w:fill="FFFFFF"/>
        </w:rPr>
        <w:t>’ architettura</w:t>
      </w:r>
      <w:proofErr w:type="gramEnd"/>
      <w:r w:rsidR="00BD4399">
        <w:rPr>
          <w:rFonts w:cstheme="minorHAnsi"/>
          <w:color w:val="222222"/>
          <w:sz w:val="21"/>
          <w:szCs w:val="21"/>
          <w:shd w:val="clear" w:color="auto" w:fill="FFFFFF"/>
        </w:rPr>
        <w:t xml:space="preserve"> software chiusa.</w:t>
      </w:r>
    </w:p>
    <w:p w14:paraId="27D6BBA4" w14:textId="4FDEA5CA" w:rsidR="00733649" w:rsidRPr="00430B48" w:rsidRDefault="00430B48">
      <w:pPr>
        <w:rPr>
          <w:i/>
          <w:noProof/>
        </w:rPr>
      </w:pPr>
      <w:r w:rsidRPr="00430B48">
        <w:rPr>
          <w:i/>
          <w:noProof/>
        </w:rPr>
        <w:t>Fa</w:t>
      </w:r>
      <w:r w:rsidR="00F235D8">
        <w:rPr>
          <w:i/>
          <w:noProof/>
        </w:rPr>
        <w:t>ç</w:t>
      </w:r>
      <w:r w:rsidRPr="00430B48">
        <w:rPr>
          <w:i/>
          <w:noProof/>
        </w:rPr>
        <w:t>ade</w:t>
      </w:r>
      <w:r w:rsidR="00F235D8">
        <w:rPr>
          <w:i/>
          <w:noProof/>
        </w:rPr>
        <w:t xml:space="preserve"> p</w:t>
      </w:r>
      <w:r w:rsidRPr="00430B48">
        <w:rPr>
          <w:i/>
          <w:noProof/>
        </w:rPr>
        <w:t xml:space="preserve">attern </w:t>
      </w:r>
    </w:p>
    <w:p w14:paraId="2C36627B" w14:textId="4F40DF29" w:rsidR="004C309B" w:rsidRDefault="004C309B">
      <w:pPr>
        <w:rPr>
          <w:b/>
          <w:noProof/>
        </w:rPr>
      </w:pPr>
      <w:r>
        <w:rPr>
          <w:noProof/>
        </w:rPr>
        <w:drawing>
          <wp:inline distT="0" distB="0" distL="0" distR="0" wp14:anchorId="79ACF750" wp14:editId="1189A7D5">
            <wp:extent cx="3716121" cy="24253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674" cy="246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FB72" w14:textId="77777777" w:rsidR="00C02F32" w:rsidRDefault="00C02F32">
      <w:pPr>
        <w:rPr>
          <w:b/>
          <w:noProof/>
        </w:rPr>
      </w:pPr>
    </w:p>
    <w:p w14:paraId="198F4044" w14:textId="77777777" w:rsidR="00C02F32" w:rsidRPr="00BD4399" w:rsidRDefault="00C02F32" w:rsidP="00C02F32">
      <w:pPr>
        <w:rPr>
          <w:noProof/>
        </w:rPr>
      </w:pPr>
      <w:r w:rsidRPr="00BD4399">
        <w:rPr>
          <w:noProof/>
        </w:rPr>
        <w:t>Utilizzo:</w:t>
      </w:r>
      <w:r>
        <w:rPr>
          <w:noProof/>
        </w:rPr>
        <w:t xml:space="preserve"> Il Façade pattern sarà utilizzato per separare il layer di controllo della logica applicativo dal layer di Data Management.</w:t>
      </w:r>
    </w:p>
    <w:p w14:paraId="0F0A4F42" w14:textId="108B68D1" w:rsidR="00C02F32" w:rsidRPr="00430B48" w:rsidRDefault="00C02F32">
      <w:pPr>
        <w:rPr>
          <w:i/>
          <w:noProof/>
        </w:rPr>
      </w:pPr>
      <w:r>
        <w:rPr>
          <w:i/>
          <w:noProof/>
        </w:rPr>
        <w:t>F</w:t>
      </w:r>
      <w:r w:rsidRPr="00430B48">
        <w:rPr>
          <w:i/>
          <w:noProof/>
        </w:rPr>
        <w:t>a</w:t>
      </w:r>
      <w:r>
        <w:rPr>
          <w:i/>
          <w:noProof/>
        </w:rPr>
        <w:t>ç</w:t>
      </w:r>
      <w:r w:rsidRPr="00430B48">
        <w:rPr>
          <w:i/>
          <w:noProof/>
        </w:rPr>
        <w:t>ade</w:t>
      </w:r>
      <w:r>
        <w:rPr>
          <w:i/>
          <w:noProof/>
        </w:rPr>
        <w:t xml:space="preserve"> p</w:t>
      </w:r>
      <w:r w:rsidRPr="00430B48">
        <w:rPr>
          <w:i/>
          <w:noProof/>
        </w:rPr>
        <w:t>attern implementata</w:t>
      </w:r>
    </w:p>
    <w:p w14:paraId="79C749B2" w14:textId="6D632F3E" w:rsidR="007D04B8" w:rsidRDefault="007D04B8">
      <w:pPr>
        <w:rPr>
          <w:b/>
          <w:noProof/>
        </w:rPr>
      </w:pPr>
    </w:p>
    <w:p w14:paraId="111847DA" w14:textId="3ECB1FD5" w:rsidR="007D04B8" w:rsidRDefault="00D97B46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0962AE3B" wp14:editId="64F24EEF">
            <wp:extent cx="6115685" cy="399415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11BF" w14:textId="77777777" w:rsidR="007D04B8" w:rsidRPr="001A28B0" w:rsidRDefault="007D04B8">
      <w:pPr>
        <w:rPr>
          <w:b/>
          <w:noProof/>
        </w:rPr>
      </w:pPr>
    </w:p>
    <w:p w14:paraId="158E681B" w14:textId="6B0FB713" w:rsidR="004C309B" w:rsidRDefault="001A28B0">
      <w:pPr>
        <w:rPr>
          <w:b/>
        </w:rPr>
      </w:pPr>
      <w:r w:rsidRPr="001A28B0">
        <w:rPr>
          <w:b/>
        </w:rPr>
        <w:t>Object</w:t>
      </w:r>
      <w:r w:rsidR="00F71997">
        <w:rPr>
          <w:b/>
        </w:rPr>
        <w:t xml:space="preserve"> p</w:t>
      </w:r>
      <w:r w:rsidRPr="001A28B0">
        <w:rPr>
          <w:b/>
        </w:rPr>
        <w:t>ool</w:t>
      </w:r>
      <w:r w:rsidR="00F71997">
        <w:rPr>
          <w:b/>
        </w:rPr>
        <w:t xml:space="preserve"> p</w:t>
      </w:r>
      <w:r w:rsidRPr="001A28B0">
        <w:rPr>
          <w:b/>
        </w:rPr>
        <w:t>attern</w:t>
      </w:r>
    </w:p>
    <w:p w14:paraId="54EF55D4" w14:textId="5FC6A2F7" w:rsidR="00C02F32" w:rsidRPr="00160BDA" w:rsidRDefault="00CF203A">
      <w:r w:rsidRPr="00160BDA">
        <w:t xml:space="preserve">L’Object pool pattern è un design pattern </w:t>
      </w:r>
      <w:proofErr w:type="spellStart"/>
      <w:r w:rsidR="0035413B" w:rsidRPr="00160BDA">
        <w:t>creazionale</w:t>
      </w:r>
      <w:proofErr w:type="spellEnd"/>
      <w:r w:rsidR="0035413B" w:rsidRPr="00160BDA">
        <w:t xml:space="preserve"> che usa un insieme di oggetti inizializzati </w:t>
      </w:r>
      <w:r w:rsidR="003C1B89" w:rsidRPr="00160BDA">
        <w:t>pronti per l’uso</w:t>
      </w:r>
      <w:r w:rsidR="00D770DD">
        <w:t xml:space="preserve"> mantenuti in una “pool”</w:t>
      </w:r>
      <w:r w:rsidR="003941B9">
        <w:t xml:space="preserve">, che si occupa di </w:t>
      </w:r>
      <w:r w:rsidR="009D6A49">
        <w:t>allocarli e de-allocherà su richiesta</w:t>
      </w:r>
      <w:r w:rsidR="00160BDA">
        <w:t xml:space="preserve">. Il </w:t>
      </w:r>
      <w:r w:rsidR="006C7493">
        <w:t>client della pool invierà richiesta a un oggetto nella pool e</w:t>
      </w:r>
      <w:r w:rsidR="00B41193">
        <w:t xml:space="preserve">d eseguirà operazioni sull’oggetto ritornato. Quando il client ha finito, ritorna l’oggetto alla pool </w:t>
      </w:r>
      <w:r w:rsidR="009D6A49">
        <w:t>che lo de-allocherà</w:t>
      </w:r>
      <w:r w:rsidR="00823C77">
        <w:t>.</w:t>
      </w:r>
    </w:p>
    <w:p w14:paraId="6653C84C" w14:textId="12D5CB55" w:rsidR="00C02F32" w:rsidRPr="00C02F32" w:rsidRDefault="00C02F32">
      <w:pPr>
        <w:rPr>
          <w:i/>
        </w:rPr>
      </w:pPr>
      <w:r w:rsidRPr="00C02F32">
        <w:rPr>
          <w:i/>
        </w:rPr>
        <w:t>Object pool pattern</w:t>
      </w:r>
    </w:p>
    <w:p w14:paraId="261F37F3" w14:textId="66F89F9A" w:rsidR="006C2A13" w:rsidRDefault="00C02F32">
      <w:pPr>
        <w:rPr>
          <w:b/>
        </w:rPr>
      </w:pPr>
      <w:r>
        <w:rPr>
          <w:b/>
          <w:noProof/>
        </w:rPr>
        <w:drawing>
          <wp:inline distT="0" distB="0" distL="0" distR="0" wp14:anchorId="7FA5D387" wp14:editId="3E5F3ECA">
            <wp:extent cx="6115685" cy="21361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6A76" w14:textId="2F140AC8" w:rsidR="006C2A13" w:rsidRDefault="006C2A13">
      <w:pPr>
        <w:rPr>
          <w:b/>
        </w:rPr>
      </w:pPr>
    </w:p>
    <w:p w14:paraId="2EEE734C" w14:textId="7F84779B" w:rsidR="006C2A13" w:rsidRPr="003D7706" w:rsidRDefault="00823C77" w:rsidP="003D7706">
      <w:pPr>
        <w:rPr>
          <w:i/>
        </w:rPr>
      </w:pPr>
      <w:r w:rsidRPr="00823C77">
        <w:t>Utilizzo:</w:t>
      </w:r>
      <w:r>
        <w:t xml:space="preserve"> L’Object Pool Pattern sarà utilizzato per </w:t>
      </w:r>
      <w:r w:rsidR="00B274A8">
        <w:t xml:space="preserve">gestire le connessioni con il database. Più precisamente, un oggetto </w:t>
      </w:r>
      <w:r w:rsidR="009B2F26">
        <w:t>M</w:t>
      </w:r>
      <w:r w:rsidR="00B274A8">
        <w:t>odel richiederà connessioni al DriverManagerPool</w:t>
      </w:r>
      <w:r w:rsidR="00C53050">
        <w:t xml:space="preserve"> che ritornerà un oggetto Connection, l’oggetto </w:t>
      </w:r>
      <w:r w:rsidR="00B00E11">
        <w:t>M</w:t>
      </w:r>
      <w:r w:rsidR="00C53050">
        <w:t>odel</w:t>
      </w:r>
      <w:r w:rsidR="00EC0D23">
        <w:t xml:space="preserve"> effettuerà operazioni con l’oggetto connection e successivamente richiederà al DriverManagerPool</w:t>
      </w:r>
      <w:r w:rsidR="003B712A">
        <w:t xml:space="preserve"> </w:t>
      </w:r>
      <w:r w:rsidR="00DA11BE">
        <w:t>la de-allocazione.</w:t>
      </w:r>
      <w:bookmarkStart w:id="0" w:name="_GoBack"/>
      <w:bookmarkEnd w:id="0"/>
    </w:p>
    <w:p w14:paraId="5BAA5B75" w14:textId="3D6CE4B2" w:rsidR="00877722" w:rsidRDefault="004C309B">
      <w:r>
        <w:rPr>
          <w:noProof/>
        </w:rPr>
        <w:drawing>
          <wp:inline distT="0" distB="0" distL="0" distR="0" wp14:anchorId="31F72043" wp14:editId="3FB8FADA">
            <wp:extent cx="6115050" cy="25431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7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7F"/>
    <w:rsid w:val="00160BDA"/>
    <w:rsid w:val="001A28B0"/>
    <w:rsid w:val="00232212"/>
    <w:rsid w:val="00271CDF"/>
    <w:rsid w:val="0035413B"/>
    <w:rsid w:val="003941B9"/>
    <w:rsid w:val="003B712A"/>
    <w:rsid w:val="003C1B89"/>
    <w:rsid w:val="003D7706"/>
    <w:rsid w:val="00430B48"/>
    <w:rsid w:val="004C309B"/>
    <w:rsid w:val="006C2A13"/>
    <w:rsid w:val="006C7493"/>
    <w:rsid w:val="00733649"/>
    <w:rsid w:val="007D04B8"/>
    <w:rsid w:val="00823C77"/>
    <w:rsid w:val="00831C7F"/>
    <w:rsid w:val="00877722"/>
    <w:rsid w:val="008D13DA"/>
    <w:rsid w:val="009479DC"/>
    <w:rsid w:val="009B2F26"/>
    <w:rsid w:val="009D6A49"/>
    <w:rsid w:val="00A06147"/>
    <w:rsid w:val="00B00E11"/>
    <w:rsid w:val="00B274A8"/>
    <w:rsid w:val="00B41193"/>
    <w:rsid w:val="00BA0509"/>
    <w:rsid w:val="00BD4399"/>
    <w:rsid w:val="00C02F32"/>
    <w:rsid w:val="00C22E86"/>
    <w:rsid w:val="00C53050"/>
    <w:rsid w:val="00CF203A"/>
    <w:rsid w:val="00D770DD"/>
    <w:rsid w:val="00D8668E"/>
    <w:rsid w:val="00D97B46"/>
    <w:rsid w:val="00DA11BE"/>
    <w:rsid w:val="00DE7C4B"/>
    <w:rsid w:val="00DF6F11"/>
    <w:rsid w:val="00EC0D23"/>
    <w:rsid w:val="00EC197F"/>
    <w:rsid w:val="00F235D8"/>
    <w:rsid w:val="00F7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BE3D"/>
  <w15:chartTrackingRefBased/>
  <w15:docId w15:val="{22FA7854-FB74-474B-A079-261E38AF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41</cp:revision>
  <dcterms:created xsi:type="dcterms:W3CDTF">2019-01-08T21:28:00Z</dcterms:created>
  <dcterms:modified xsi:type="dcterms:W3CDTF">2019-01-09T17:29:00Z</dcterms:modified>
</cp:coreProperties>
</file>