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UC_1.1 Login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UC_1.1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Login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 UC fornisce agli utenti la funzionalità di accedere alla propria area personale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È interessato ad accedere alla propria area personale per visualizzare le informazioni relative al proprio account (carte di credito, indirizzi, …).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È interessato ad accedere alla propria area personale per modificare o aggiungere nuovi libri e per aggiungere nuovi account amministratore.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Amministratore degli ordini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È interessato ad accedere alla propria area personale per modificare lo stato di consegna di un ordine e per notificare eventuali aggiornamenti.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clicca sull’icona nella barra di navigazione che ti permette di effettuare l’accesso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non ha effettuato l’accesso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accede alla propria area personale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-Al passo 4 se l’utente inserisce delle credenziali che non corrispondono ad un account registrato  o se non ha compilato qualche campo  e clicca il tasto per sottomettere il form,  fare riferimento a UC_1.12 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 la pagina di login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un form che richiede l’inserimento di diverse informazioni: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le informazioni richieste e clicca il tasto per sottomettere il form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campi richiesti siano specificati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credenziali inserite corrispondono ad un profilo registrato nel sistema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la pagina successiva in base al ruolo dell’utente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