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UC_1.9 Elimina indirizzo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UC_1.9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Elimina Indirizzo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Lo UC fornisce agli utenti la funzionalità di eliminare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È interessato ad eliminare un indirizzo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L’utente si trova alla pagina </w:t>
            </w:r>
            <w:r w:rsidDel="00000000" w:rsidR="00000000" w:rsidRPr="00000000">
              <w:rPr>
                <w:rtl w:val="0"/>
              </w:rPr>
              <w:t xml:space="preserve">di visualizzazione degli indirizzi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L’utente ha eliminato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passo 3 se l’utente clicca sul pulsante per dare una risposta negativa fare riferimento a UC_1.21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sul pulsante per eliminare un indirizzo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Mostra un messaggio che richiede la conferma dell’azione e due pulsanti, uno per dare una risposta affermativa e un altro per dare una risposta negativa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sul pulsante per dare una risposta affermativa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 l’indirizzo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