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 Syllabus</w:t>
      </w:r>
    </w:p>
    <w:p>
      <w:pPr>
        <w:pStyle w:val="Heading1"/>
      </w:pPr>
      <w:r>
        <w:t>Introduction to Philosophy</w:t>
      </w:r>
    </w:p>
    <w:p>
      <w:r>
        <w:t>This course introduces students to the central questions and methods of philosophy. Topics include the theory of knowledge, metaphysics, ethics, and political philosophy. Students will engage with primary texts from ancient, modern, and contemporary philosophers.</w:t>
      </w:r>
    </w:p>
    <w:p>
      <w:pPr>
        <w:pStyle w:val="Heading2"/>
      </w:pPr>
      <w:r>
        <w:t>Course Information</w:t>
      </w:r>
    </w:p>
    <w:p>
      <w:pPr>
        <w:pStyle w:val="ListBullet"/>
      </w:pPr>
      <w:r>
        <w:t>Instructor: [TBD]</w:t>
      </w:r>
    </w:p>
    <w:p>
      <w:pPr>
        <w:pStyle w:val="ListBullet"/>
      </w:pPr>
      <w:r>
        <w:t>Credits: 3</w:t>
      </w:r>
    </w:p>
    <w:p>
      <w:pPr>
        <w:pStyle w:val="ListBullet"/>
      </w:pPr>
      <w:r>
        <w:t>Meeting Times: [TBD]</w:t>
      </w:r>
    </w:p>
    <w:p>
      <w:pPr>
        <w:pStyle w:val="ListBullet"/>
      </w:pPr>
      <w:r>
        <w:t>Location: [TBD]</w:t>
      </w:r>
    </w:p>
    <w:p>
      <w:pPr>
        <w:pStyle w:val="Heading2"/>
      </w:pPr>
      <w:r>
        <w:t>Course Objectives</w:t>
      </w:r>
    </w:p>
    <w:p>
      <w:pPr>
        <w:pStyle w:val="ListBullet"/>
      </w:pPr>
      <w:r>
        <w:t>Understand foundational philosophical questions and traditions.</w:t>
      </w:r>
    </w:p>
    <w:p>
      <w:pPr>
        <w:pStyle w:val="ListBullet"/>
      </w:pPr>
      <w:r>
        <w:t>Develop skills in critical reading, argumentation, and writing.</w:t>
      </w:r>
    </w:p>
    <w:p>
      <w:pPr>
        <w:pStyle w:val="ListBullet"/>
      </w:pPr>
      <w:r>
        <w:t>Apply philosophical reasoning to contemporary issues.</w:t>
      </w:r>
    </w:p>
    <w:p>
      <w:pPr>
        <w:pStyle w:val="Heading2"/>
      </w:pPr>
      <w:r>
        <w:t>Reading Schedule</w:t>
      </w:r>
    </w:p>
    <w:p>
      <w:pPr>
        <w:pStyle w:val="ListBullet"/>
      </w:pPr>
      <w:r>
        <w:t>Week 1–2</w:t>
      </w:r>
    </w:p>
    <w:p>
      <w:pPr>
        <w:pStyle w:val="ListBullet"/>
      </w:pPr>
      <w:r>
        <w:t>Week 3–4</w:t>
      </w:r>
    </w:p>
    <w:p>
      <w:pPr>
        <w:pStyle w:val="ListBullet"/>
      </w:pPr>
      <w:r>
        <w:t>Week 5–6</w:t>
      </w:r>
    </w:p>
    <w:p>
      <w:pPr>
        <w:pStyle w:val="ListBullet"/>
      </w:pPr>
      <w:r>
        <w:t>Week 7–8</w:t>
      </w:r>
    </w:p>
    <w:p>
      <w:pPr>
        <w:pStyle w:val="ListBullet"/>
      </w:pPr>
      <w:r>
        <w:t>Week 9–10</w:t>
      </w:r>
    </w:p>
    <w:p>
      <w:pPr>
        <w:pStyle w:val="Heading2"/>
      </w:pPr>
      <w:r>
        <w:t>Grading</w:t>
      </w:r>
    </w:p>
    <w:p>
      <w:pPr>
        <w:pStyle w:val="ListBullet"/>
      </w:pPr>
      <w:r>
        <w:t>First Paper: 20%</w:t>
      </w:r>
    </w:p>
    <w:p>
      <w:pPr>
        <w:pStyle w:val="ListBullet"/>
      </w:pPr>
      <w:r>
        <w:t>Paper 2: 30%</w:t>
      </w:r>
    </w:p>
    <w:p>
      <w:pPr>
        <w:pStyle w:val="ListBullet"/>
      </w:pPr>
      <w:r>
        <w:t>Final Exam: 30%</w:t>
      </w:r>
    </w:p>
    <w:p>
      <w:pPr>
        <w:pStyle w:val="ListBullet"/>
      </w:pPr>
      <w:r>
        <w:t>Participation: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