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809"/>
        <w:tblW w:w="10562" w:type="dxa"/>
        <w:tblLook w:val="01E0" w:firstRow="1" w:lastRow="1" w:firstColumn="1" w:lastColumn="1" w:noHBand="0" w:noVBand="0"/>
      </w:tblPr>
      <w:tblGrid>
        <w:gridCol w:w="4308"/>
        <w:gridCol w:w="349"/>
        <w:gridCol w:w="349"/>
        <w:gridCol w:w="348"/>
        <w:gridCol w:w="348"/>
        <w:gridCol w:w="348"/>
        <w:gridCol w:w="348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1741FD" w:rsidRPr="00B44A09" w:rsidTr="001741FD">
        <w:trPr>
          <w:cantSplit/>
          <w:trHeight w:val="1134"/>
        </w:trPr>
        <w:tc>
          <w:tcPr>
            <w:tcW w:w="4308" w:type="dxa"/>
          </w:tcPr>
          <w:p w:rsidR="001741FD" w:rsidRPr="00B44A09" w:rsidRDefault="00FB4B33" w:rsidP="001741F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Ladder / Scaffold / Specific structure  </w:t>
            </w:r>
            <w:r w:rsidR="001741FD">
              <w:rPr>
                <w:rFonts w:cs="Arial"/>
                <w:b/>
                <w:sz w:val="18"/>
                <w:szCs w:val="18"/>
              </w:rPr>
              <w:t>Name--</w:t>
            </w:r>
            <w:r w:rsidR="001741FD" w:rsidRPr="00FA3477">
              <w:rPr>
                <w:rFonts w:cs="Arial"/>
                <w:b/>
                <w:sz w:val="18"/>
                <w:szCs w:val="18"/>
              </w:rPr>
              <w:sym w:font="Wingdings" w:char="F0E0"/>
            </w:r>
          </w:p>
        </w:tc>
        <w:tc>
          <w:tcPr>
            <w:tcW w:w="349" w:type="dxa"/>
            <w:textDirection w:val="btLr"/>
          </w:tcPr>
          <w:p w:rsidR="001741FD" w:rsidRPr="00B44A09" w:rsidRDefault="001741FD" w:rsidP="001741FD">
            <w:pPr>
              <w:ind w:left="113" w:right="113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9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741FD" w:rsidRPr="00B44A09" w:rsidTr="001741FD">
        <w:trPr>
          <w:cantSplit/>
          <w:trHeight w:val="830"/>
        </w:trPr>
        <w:tc>
          <w:tcPr>
            <w:tcW w:w="4308" w:type="dxa"/>
          </w:tcPr>
          <w:p w:rsidR="001741FD" w:rsidRPr="00B44A09" w:rsidRDefault="001741FD" w:rsidP="001741F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                                                         ID No.----</w:t>
            </w:r>
            <w:r w:rsidRPr="00FA3477">
              <w:rPr>
                <w:rFonts w:cs="Arial"/>
                <w:b/>
                <w:sz w:val="18"/>
                <w:szCs w:val="18"/>
              </w:rPr>
              <w:sym w:font="Wingdings" w:char="F0E0"/>
            </w:r>
          </w:p>
        </w:tc>
        <w:tc>
          <w:tcPr>
            <w:tcW w:w="349" w:type="dxa"/>
            <w:textDirection w:val="btLr"/>
          </w:tcPr>
          <w:p w:rsidR="001741FD" w:rsidRPr="00B44A09" w:rsidRDefault="001741FD" w:rsidP="001741FD">
            <w:pPr>
              <w:ind w:left="113" w:right="11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9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741FD" w:rsidRPr="00B44A09" w:rsidTr="001741FD">
        <w:tc>
          <w:tcPr>
            <w:tcW w:w="430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Check points</w:t>
            </w:r>
          </w:p>
        </w:tc>
        <w:tc>
          <w:tcPr>
            <w:tcW w:w="6254" w:type="dxa"/>
            <w:gridSpan w:val="18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BD212E">
              <w:rPr>
                <w:rFonts w:cs="Arial"/>
                <w:sz w:val="16"/>
                <w:szCs w:val="16"/>
                <w:lang w:val="en-GB" w:eastAsia="en-GB"/>
              </w:rPr>
              <w:t>Mark: (</w:t>
            </w:r>
            <w:r w:rsidRPr="00BD212E">
              <w:rPr>
                <w:rFonts w:ascii="Wingdings 2" w:hAnsi="Wingdings 2" w:cs="Arial"/>
                <w:sz w:val="16"/>
                <w:szCs w:val="16"/>
                <w:lang w:val="en-GB" w:eastAsia="en-GB"/>
              </w:rPr>
              <w:t></w:t>
            </w:r>
            <w:r w:rsidRPr="00BD212E">
              <w:rPr>
                <w:rFonts w:cs="Arial"/>
                <w:sz w:val="16"/>
                <w:szCs w:val="16"/>
                <w:lang w:val="en-GB" w:eastAsia="en-GB"/>
              </w:rPr>
              <w:t>) if Ok, (X) if Not Ok, (-) if Not Applicable</w:t>
            </w:r>
          </w:p>
        </w:tc>
      </w:tr>
      <w:tr w:rsidR="001741FD" w:rsidRPr="00B44A09" w:rsidTr="001741FD">
        <w:tc>
          <w:tcPr>
            <w:tcW w:w="4308" w:type="dxa"/>
          </w:tcPr>
          <w:p w:rsidR="001741FD" w:rsidRPr="00B44A09" w:rsidRDefault="004853D6" w:rsidP="001741F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Ladders</w:t>
            </w:r>
          </w:p>
        </w:tc>
        <w:tc>
          <w:tcPr>
            <w:tcW w:w="349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9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1741FD" w:rsidRPr="00B44A09" w:rsidTr="001741FD">
        <w:tc>
          <w:tcPr>
            <w:tcW w:w="4308" w:type="dxa"/>
          </w:tcPr>
          <w:p w:rsidR="001741FD" w:rsidRPr="00B44A09" w:rsidRDefault="00EC04F1" w:rsidP="001741FD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Side rail</w:t>
            </w:r>
          </w:p>
        </w:tc>
        <w:tc>
          <w:tcPr>
            <w:tcW w:w="349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9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8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47" w:type="dxa"/>
          </w:tcPr>
          <w:p w:rsidR="001741FD" w:rsidRPr="00B44A09" w:rsidRDefault="001741FD" w:rsidP="001741FD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Non Skid feet on bottom of each rail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No splits along rail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Both rails same length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0A75ED" w:rsidRDefault="00EC04F1" w:rsidP="001741F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A75ED">
              <w:rPr>
                <w:rFonts w:cs="Arial"/>
                <w:b/>
                <w:bCs/>
                <w:sz w:val="18"/>
                <w:szCs w:val="18"/>
              </w:rPr>
              <w:t>Rungs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Rungs evenly spaced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Rungs recessed into side rail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Rungs secured and unable to rotate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Rung not bent, split or missing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0A75ED" w:rsidRDefault="00EC04F1" w:rsidP="001741F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A75ED">
              <w:rPr>
                <w:rFonts w:cs="Arial"/>
                <w:b/>
                <w:bCs/>
                <w:sz w:val="18"/>
                <w:szCs w:val="18"/>
              </w:rPr>
              <w:t>Reinforcement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Lateral wires secure to both side rails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Lateral wires located below every fifth rung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Longitudinal wires secured at each end of ladder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No breaks or missing ‘U’ staples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0A75ED" w:rsidRDefault="00EC04F1" w:rsidP="001741F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A75ED">
              <w:rPr>
                <w:rFonts w:cs="Arial"/>
                <w:b/>
                <w:bCs/>
                <w:sz w:val="18"/>
                <w:szCs w:val="18"/>
              </w:rPr>
              <w:t>General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4853D6" w:rsidP="008C17D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Secured </w:t>
            </w:r>
            <w:r w:rsidR="00EC04F1" w:rsidRPr="004D2F8B">
              <w:rPr>
                <w:rFonts w:cs="Arial"/>
                <w:sz w:val="18"/>
                <w:szCs w:val="18"/>
              </w:rPr>
              <w:t>of hinge/fittings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Rear support legs undamaged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Attachment and condition of spreader limiting devices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ID Number clearly marked</w:t>
            </w:r>
            <w:r w:rsidR="004853D6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4853D6" w:rsidP="008C17D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Color coded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8C17D5">
        <w:tc>
          <w:tcPr>
            <w:tcW w:w="4308" w:type="dxa"/>
            <w:vAlign w:val="center"/>
          </w:tcPr>
          <w:p w:rsidR="00EC04F1" w:rsidRPr="004D2F8B" w:rsidRDefault="00EC04F1" w:rsidP="008C17D5">
            <w:pPr>
              <w:rPr>
                <w:rFonts w:cs="Arial"/>
                <w:sz w:val="18"/>
                <w:szCs w:val="18"/>
              </w:rPr>
            </w:pPr>
            <w:r w:rsidRPr="004D2F8B">
              <w:rPr>
                <w:rFonts w:cs="Arial"/>
                <w:sz w:val="18"/>
                <w:szCs w:val="18"/>
              </w:rPr>
              <w:t>Tie-off rope / clamp attached to upper rungs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B44A09" w:rsidRDefault="004853D6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Extending more than 90 above landing 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B44A09" w:rsidRDefault="004853D6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Step ladders fully open with locking device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4853D6" w:rsidRDefault="004853D6" w:rsidP="001741F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4853D6">
              <w:rPr>
                <w:rFonts w:cs="Arial"/>
                <w:b/>
                <w:bCs/>
                <w:sz w:val="18"/>
                <w:szCs w:val="18"/>
              </w:rPr>
              <w:t>Scaffolding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B44A09" w:rsidRDefault="004853D6" w:rsidP="001741FD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Scaff</w:t>
            </w:r>
            <w:proofErr w:type="spellEnd"/>
            <w:r w:rsidR="00D25356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tag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515F03" w:rsidRPr="00B44A09" w:rsidTr="001741FD">
        <w:tc>
          <w:tcPr>
            <w:tcW w:w="4308" w:type="dxa"/>
          </w:tcPr>
          <w:p w:rsidR="00515F03" w:rsidRDefault="00515F03" w:rsidP="001741FD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Scaff</w:t>
            </w:r>
            <w:proofErr w:type="spellEnd"/>
            <w:r w:rsidR="00D25356">
              <w:rPr>
                <w:rFonts w:cs="Arial"/>
                <w:sz w:val="18"/>
                <w:szCs w:val="18"/>
              </w:rPr>
              <w:t>.</w:t>
            </w:r>
            <w:r w:rsidR="0083796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tag colour                        ( R-red, G-green)</w:t>
            </w:r>
          </w:p>
        </w:tc>
        <w:tc>
          <w:tcPr>
            <w:tcW w:w="349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515F03" w:rsidRPr="00B44A09" w:rsidRDefault="00515F03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B44A09" w:rsidRDefault="004853D6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Verticality</w:t>
            </w:r>
            <w:r w:rsidR="00515F0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B44A09" w:rsidRDefault="00C222C0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Rigid, even </w:t>
            </w:r>
            <w:r w:rsidR="004853D6">
              <w:rPr>
                <w:rFonts w:cs="Arial"/>
                <w:sz w:val="18"/>
                <w:szCs w:val="18"/>
              </w:rPr>
              <w:t>base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4853D6" w:rsidRDefault="00C222C0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Base plate, sole board</w:t>
            </w:r>
            <w:r w:rsidR="00515F03">
              <w:rPr>
                <w:rFonts w:cs="Arial"/>
                <w:sz w:val="18"/>
                <w:szCs w:val="18"/>
              </w:rPr>
              <w:t xml:space="preserve"> secure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EC04F1" w:rsidRPr="00B44A09" w:rsidTr="001741FD">
        <w:tc>
          <w:tcPr>
            <w:tcW w:w="4308" w:type="dxa"/>
          </w:tcPr>
          <w:p w:rsidR="00EC04F1" w:rsidRPr="00B44A09" w:rsidRDefault="00C222C0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Standards/ledgers/transoms/ bracings/ties </w:t>
            </w:r>
            <w:r w:rsidR="00515F03">
              <w:rPr>
                <w:rFonts w:cs="Arial"/>
                <w:sz w:val="18"/>
                <w:szCs w:val="18"/>
              </w:rPr>
              <w:t>secure</w:t>
            </w: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EC04F1" w:rsidRPr="00B44A09" w:rsidRDefault="00EC04F1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C222C0" w:rsidRPr="00B44A09" w:rsidTr="001741FD">
        <w:tc>
          <w:tcPr>
            <w:tcW w:w="4308" w:type="dxa"/>
          </w:tcPr>
          <w:p w:rsidR="00C222C0" w:rsidRDefault="00C222C0" w:rsidP="001741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Couplings </w:t>
            </w:r>
            <w:r w:rsidR="00515F03">
              <w:rPr>
                <w:rFonts w:cs="Arial"/>
                <w:sz w:val="18"/>
                <w:szCs w:val="18"/>
              </w:rPr>
              <w:t>secure</w:t>
            </w:r>
          </w:p>
        </w:tc>
        <w:tc>
          <w:tcPr>
            <w:tcW w:w="349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C222C0" w:rsidRPr="00B44A09" w:rsidRDefault="00C222C0" w:rsidP="001741FD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Safe  access</w:t>
            </w:r>
            <w:r w:rsidR="00C222C0">
              <w:rPr>
                <w:rFonts w:cs="Arial"/>
                <w:sz w:val="18"/>
                <w:szCs w:val="18"/>
              </w:rPr>
              <w:t xml:space="preserve"> / ladders sufficient length/ secure</w:t>
            </w: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Pr="004853D6" w:rsidRDefault="004853D6" w:rsidP="004853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Platform even</w:t>
            </w:r>
            <w:r w:rsidR="00515F03">
              <w:rPr>
                <w:rFonts w:cs="Arial"/>
                <w:sz w:val="18"/>
                <w:szCs w:val="18"/>
              </w:rPr>
              <w:t>, secured, no gaps</w:t>
            </w: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Default="00515F03" w:rsidP="004853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Guard rails secure, no missing (bottom, middle, top)</w:t>
            </w: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Pr="00515F03" w:rsidRDefault="00515F03" w:rsidP="004853D6">
            <w:pPr>
              <w:rPr>
                <w:rFonts w:cs="Arial"/>
                <w:sz w:val="18"/>
                <w:szCs w:val="18"/>
              </w:rPr>
            </w:pPr>
            <w:r w:rsidRPr="00515F03">
              <w:rPr>
                <w:rFonts w:cs="Arial"/>
                <w:sz w:val="18"/>
                <w:szCs w:val="18"/>
              </w:rPr>
              <w:t>Toe boards secure</w:t>
            </w:r>
          </w:p>
        </w:tc>
        <w:tc>
          <w:tcPr>
            <w:tcW w:w="349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515F03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Pr="000D4C7F" w:rsidRDefault="004853D6" w:rsidP="004853D6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0D4C7F">
              <w:rPr>
                <w:rFonts w:cs="Arial"/>
                <w:b/>
                <w:bCs/>
                <w:sz w:val="18"/>
                <w:szCs w:val="18"/>
              </w:rPr>
              <w:t>Date of Inspection</w:t>
            </w: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Pr="000D4C7F" w:rsidRDefault="004853D6" w:rsidP="004853D6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0D4C7F">
              <w:rPr>
                <w:rFonts w:cs="Arial"/>
                <w:b/>
                <w:bCs/>
                <w:sz w:val="18"/>
                <w:szCs w:val="18"/>
              </w:rPr>
              <w:t>User</w:t>
            </w:r>
            <w:r w:rsidR="00515F03">
              <w:rPr>
                <w:rFonts w:cs="Arial"/>
                <w:b/>
                <w:bCs/>
                <w:sz w:val="18"/>
                <w:szCs w:val="18"/>
              </w:rPr>
              <w:t xml:space="preserve"> / Supervisor </w:t>
            </w:r>
            <w:r w:rsidRPr="000D4C7F">
              <w:rPr>
                <w:rFonts w:cs="Arial"/>
                <w:b/>
                <w:bCs/>
                <w:sz w:val="18"/>
                <w:szCs w:val="18"/>
              </w:rPr>
              <w:t xml:space="preserve"> Initial</w:t>
            </w: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4308" w:type="dxa"/>
          </w:tcPr>
          <w:p w:rsidR="004853D6" w:rsidRPr="000D4C7F" w:rsidRDefault="004853D6" w:rsidP="004853D6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0D4C7F">
              <w:rPr>
                <w:rFonts w:cs="Arial"/>
                <w:b/>
                <w:bCs/>
                <w:sz w:val="18"/>
                <w:szCs w:val="18"/>
              </w:rPr>
              <w:t>User</w:t>
            </w:r>
            <w:r w:rsidR="00515F03">
              <w:rPr>
                <w:rFonts w:cs="Arial"/>
                <w:b/>
                <w:bCs/>
                <w:sz w:val="18"/>
                <w:szCs w:val="18"/>
              </w:rPr>
              <w:t>/ Supervisor</w:t>
            </w:r>
            <w:r w:rsidRPr="000D4C7F">
              <w:rPr>
                <w:rFonts w:cs="Arial"/>
                <w:b/>
                <w:bCs/>
                <w:sz w:val="18"/>
                <w:szCs w:val="18"/>
              </w:rPr>
              <w:t xml:space="preserve"> ID No.</w:t>
            </w:r>
          </w:p>
        </w:tc>
        <w:tc>
          <w:tcPr>
            <w:tcW w:w="349" w:type="dxa"/>
          </w:tcPr>
          <w:p w:rsidR="004853D6" w:rsidRDefault="004853D6" w:rsidP="004853D6">
            <w:pPr>
              <w:rPr>
                <w:rFonts w:cs="Arial"/>
                <w:sz w:val="18"/>
                <w:szCs w:val="18"/>
              </w:rPr>
            </w:pPr>
          </w:p>
          <w:p w:rsidR="004853D6" w:rsidRDefault="004853D6" w:rsidP="004853D6">
            <w:pPr>
              <w:rPr>
                <w:rFonts w:cs="Arial"/>
                <w:sz w:val="18"/>
                <w:szCs w:val="18"/>
              </w:rPr>
            </w:pPr>
          </w:p>
          <w:p w:rsidR="004853D6" w:rsidRDefault="004853D6" w:rsidP="004853D6">
            <w:pPr>
              <w:rPr>
                <w:rFonts w:cs="Arial"/>
                <w:sz w:val="18"/>
                <w:szCs w:val="18"/>
              </w:rPr>
            </w:pPr>
          </w:p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9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8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7" w:type="dxa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</w:p>
        </w:tc>
      </w:tr>
      <w:tr w:rsidR="004853D6" w:rsidRPr="00B44A09" w:rsidTr="001741FD">
        <w:tc>
          <w:tcPr>
            <w:tcW w:w="10562" w:type="dxa"/>
            <w:gridSpan w:val="19"/>
          </w:tcPr>
          <w:p w:rsidR="004853D6" w:rsidRPr="00B44A09" w:rsidRDefault="004853D6" w:rsidP="004853D6">
            <w:pPr>
              <w:rPr>
                <w:rFonts w:cs="Arial"/>
                <w:sz w:val="18"/>
                <w:szCs w:val="18"/>
              </w:rPr>
            </w:pPr>
            <w:r w:rsidRPr="00BD212E">
              <w:rPr>
                <w:rFonts w:cs="Arial"/>
                <w:sz w:val="16"/>
                <w:szCs w:val="16"/>
                <w:lang w:val="en-GB" w:eastAsia="en-GB"/>
              </w:rPr>
              <w:t xml:space="preserve">Notes:  1) If Any Answer Is (X) Notify </w:t>
            </w:r>
            <w:r w:rsidR="00D676CB">
              <w:rPr>
                <w:rFonts w:cs="Arial"/>
                <w:sz w:val="16"/>
                <w:szCs w:val="16"/>
                <w:lang w:val="en-GB" w:eastAsia="en-GB"/>
              </w:rPr>
              <w:t>Scaffolding Inspector / supervisor</w:t>
            </w:r>
            <w:r w:rsidRPr="00BD212E">
              <w:rPr>
                <w:rFonts w:cs="Arial"/>
                <w:sz w:val="16"/>
                <w:szCs w:val="16"/>
                <w:lang w:val="en-GB" w:eastAsia="en-GB"/>
              </w:rPr>
              <w:t xml:space="preserve">.  Do not </w:t>
            </w:r>
            <w:r w:rsidR="00D676CB">
              <w:rPr>
                <w:rFonts w:cs="Arial"/>
                <w:sz w:val="16"/>
                <w:szCs w:val="16"/>
                <w:lang w:val="en-GB" w:eastAsia="en-GB"/>
              </w:rPr>
              <w:t xml:space="preserve">use ladder and </w:t>
            </w:r>
            <w:r>
              <w:rPr>
                <w:rFonts w:cs="Arial"/>
                <w:sz w:val="16"/>
                <w:szCs w:val="16"/>
                <w:lang w:val="en-GB" w:eastAsia="en-GB"/>
              </w:rPr>
              <w:t>Remove to safe location</w:t>
            </w:r>
            <w:r w:rsidRPr="00BD212E">
              <w:rPr>
                <w:rFonts w:cs="Arial"/>
                <w:sz w:val="16"/>
                <w:szCs w:val="16"/>
                <w:lang w:val="en-GB" w:eastAsia="en-GB"/>
              </w:rPr>
              <w:t xml:space="preserve">. 2) </w:t>
            </w:r>
            <w:r>
              <w:rPr>
                <w:rFonts w:cs="Arial"/>
                <w:sz w:val="16"/>
                <w:szCs w:val="16"/>
                <w:lang w:val="en-GB" w:eastAsia="en-GB"/>
              </w:rPr>
              <w:t xml:space="preserve">Stores </w:t>
            </w:r>
            <w:r w:rsidR="00D676CB">
              <w:rPr>
                <w:rFonts w:cs="Arial"/>
                <w:sz w:val="16"/>
                <w:szCs w:val="16"/>
                <w:lang w:val="en-GB" w:eastAsia="en-GB"/>
              </w:rPr>
              <w:t xml:space="preserve">/ Scaffolding Supervisor </w:t>
            </w:r>
            <w:r>
              <w:rPr>
                <w:rFonts w:cs="Arial"/>
                <w:sz w:val="16"/>
                <w:szCs w:val="16"/>
                <w:lang w:val="en-GB" w:eastAsia="en-GB"/>
              </w:rPr>
              <w:t xml:space="preserve">shall take action for replacement </w:t>
            </w:r>
            <w:r w:rsidR="00D676CB">
              <w:rPr>
                <w:rFonts w:cs="Arial"/>
                <w:sz w:val="16"/>
                <w:szCs w:val="16"/>
                <w:lang w:val="en-GB" w:eastAsia="en-GB"/>
              </w:rPr>
              <w:t xml:space="preserve">/ correction </w:t>
            </w:r>
            <w:r>
              <w:rPr>
                <w:rFonts w:cs="Arial"/>
                <w:sz w:val="16"/>
                <w:szCs w:val="16"/>
                <w:lang w:val="en-GB" w:eastAsia="en-GB"/>
              </w:rPr>
              <w:t>3) Such actions shall be recorded on this sheet back page with initials 4) Daily inspection shall be carried out, but need not be recorded. 5) Weekly inspection shall be recorded</w:t>
            </w:r>
          </w:p>
        </w:tc>
      </w:tr>
    </w:tbl>
    <w:p w:rsidR="00E6023F" w:rsidRPr="00A16955" w:rsidRDefault="006B7DED">
      <w:pPr>
        <w:rPr>
          <w:b/>
          <w:bCs/>
          <w:sz w:val="18"/>
          <w:szCs w:val="18"/>
        </w:rPr>
      </w:pPr>
      <w:r w:rsidRPr="00A16955">
        <w:rPr>
          <w:b/>
          <w:bCs/>
          <w:sz w:val="18"/>
          <w:szCs w:val="18"/>
        </w:rPr>
        <w:t>Location</w:t>
      </w:r>
      <w:r w:rsidR="00FB4B33" w:rsidRPr="00A16955">
        <w:rPr>
          <w:b/>
          <w:bCs/>
          <w:sz w:val="18"/>
          <w:szCs w:val="18"/>
        </w:rPr>
        <w:t xml:space="preserve"> / Area</w:t>
      </w:r>
      <w:r w:rsidRPr="00A16955">
        <w:rPr>
          <w:b/>
          <w:bCs/>
          <w:sz w:val="18"/>
          <w:szCs w:val="18"/>
        </w:rPr>
        <w:t>:</w:t>
      </w:r>
      <w:bookmarkStart w:id="0" w:name="_GoBack"/>
      <w:bookmarkEnd w:id="0"/>
    </w:p>
    <w:sectPr w:rsidR="00E6023F" w:rsidRPr="00A16955" w:rsidSect="00696442">
      <w:headerReference w:type="default" r:id="rId6"/>
      <w:pgSz w:w="11906" w:h="16838" w:code="9"/>
      <w:pgMar w:top="864" w:right="864" w:bottom="864" w:left="864" w:header="706" w:footer="706" w:gutter="864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86" w:rsidRDefault="00E26E86">
      <w:r>
        <w:separator/>
      </w:r>
    </w:p>
  </w:endnote>
  <w:endnote w:type="continuationSeparator" w:id="0">
    <w:p w:rsidR="00E26E86" w:rsidRDefault="00E2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86" w:rsidRDefault="00E26E86">
      <w:r>
        <w:separator/>
      </w:r>
    </w:p>
  </w:footnote>
  <w:footnote w:type="continuationSeparator" w:id="0">
    <w:p w:rsidR="00E26E86" w:rsidRDefault="00E26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30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64"/>
      <w:gridCol w:w="6226"/>
      <w:gridCol w:w="2040"/>
    </w:tblGrid>
    <w:tr w:rsidR="0069686E" w:rsidRPr="0087412E" w:rsidTr="007F786A">
      <w:trPr>
        <w:cantSplit/>
        <w:trHeight w:val="1067"/>
      </w:trPr>
      <w:tc>
        <w:tcPr>
          <w:tcW w:w="2464" w:type="dxa"/>
        </w:tcPr>
        <w:p w:rsidR="0069686E" w:rsidRPr="0087412E" w:rsidRDefault="0069686E" w:rsidP="00206FE1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6226" w:type="dxa"/>
          <w:vAlign w:val="center"/>
        </w:tcPr>
        <w:p w:rsidR="0069686E" w:rsidRPr="00B72F82" w:rsidRDefault="0069686E" w:rsidP="00BF1208">
          <w:pPr>
            <w:jc w:val="center"/>
            <w:rPr>
              <w:rFonts w:cs="Arial"/>
              <w:b/>
              <w:bCs/>
            </w:rPr>
          </w:pPr>
        </w:p>
      </w:tc>
      <w:tc>
        <w:tcPr>
          <w:tcW w:w="2040" w:type="dxa"/>
        </w:tcPr>
        <w:p w:rsidR="0069686E" w:rsidRPr="007F786A" w:rsidRDefault="0069686E" w:rsidP="00206FE1"/>
      </w:tc>
    </w:tr>
    <w:tr w:rsidR="0069686E" w:rsidRPr="0087412E" w:rsidTr="003D3D50">
      <w:trPr>
        <w:cantSplit/>
        <w:trHeight w:val="490"/>
      </w:trPr>
      <w:tc>
        <w:tcPr>
          <w:tcW w:w="8690" w:type="dxa"/>
          <w:gridSpan w:val="2"/>
          <w:vAlign w:val="center"/>
        </w:tcPr>
        <w:p w:rsidR="0069686E" w:rsidRPr="000C153D" w:rsidRDefault="0069686E" w:rsidP="00206FE1">
          <w:pPr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LADDERS &amp; SCAFFOLDING INSPECTION</w:t>
          </w:r>
        </w:p>
      </w:tc>
      <w:tc>
        <w:tcPr>
          <w:tcW w:w="2040" w:type="dxa"/>
          <w:vAlign w:val="center"/>
        </w:tcPr>
        <w:p w:rsidR="0069686E" w:rsidRPr="000C153D" w:rsidRDefault="0069686E" w:rsidP="00206FE1">
          <w:pPr>
            <w:jc w:val="center"/>
            <w:rPr>
              <w:rFonts w:cs="Arial"/>
              <w:noProof/>
              <w:sz w:val="20"/>
            </w:rPr>
          </w:pPr>
        </w:p>
      </w:tc>
    </w:tr>
  </w:tbl>
  <w:p w:rsidR="0069686E" w:rsidRDefault="00696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42"/>
    <w:rsid w:val="0000501F"/>
    <w:rsid w:val="0001467C"/>
    <w:rsid w:val="00014912"/>
    <w:rsid w:val="00024496"/>
    <w:rsid w:val="00025B10"/>
    <w:rsid w:val="00027C77"/>
    <w:rsid w:val="00042714"/>
    <w:rsid w:val="00056D70"/>
    <w:rsid w:val="00072141"/>
    <w:rsid w:val="00091574"/>
    <w:rsid w:val="00092401"/>
    <w:rsid w:val="000A0CC3"/>
    <w:rsid w:val="000A5BBB"/>
    <w:rsid w:val="000A74D4"/>
    <w:rsid w:val="000A75ED"/>
    <w:rsid w:val="000E0492"/>
    <w:rsid w:val="000E1DBA"/>
    <w:rsid w:val="00112258"/>
    <w:rsid w:val="00113FEC"/>
    <w:rsid w:val="00123E9B"/>
    <w:rsid w:val="001378D7"/>
    <w:rsid w:val="00153648"/>
    <w:rsid w:val="00157282"/>
    <w:rsid w:val="001741FD"/>
    <w:rsid w:val="001860EB"/>
    <w:rsid w:val="001C27C3"/>
    <w:rsid w:val="001C6CF8"/>
    <w:rsid w:val="001D4200"/>
    <w:rsid w:val="001D5002"/>
    <w:rsid w:val="001E2294"/>
    <w:rsid w:val="0020554E"/>
    <w:rsid w:val="00206FE1"/>
    <w:rsid w:val="00210E3E"/>
    <w:rsid w:val="00221C0C"/>
    <w:rsid w:val="00223B10"/>
    <w:rsid w:val="0022455A"/>
    <w:rsid w:val="002368AB"/>
    <w:rsid w:val="002548ED"/>
    <w:rsid w:val="0026686D"/>
    <w:rsid w:val="002706F4"/>
    <w:rsid w:val="00275FED"/>
    <w:rsid w:val="002809A4"/>
    <w:rsid w:val="002858AA"/>
    <w:rsid w:val="002972D9"/>
    <w:rsid w:val="002C287D"/>
    <w:rsid w:val="002E2E85"/>
    <w:rsid w:val="002E3127"/>
    <w:rsid w:val="002F0982"/>
    <w:rsid w:val="0032331A"/>
    <w:rsid w:val="003239A8"/>
    <w:rsid w:val="00341B89"/>
    <w:rsid w:val="003441C5"/>
    <w:rsid w:val="003A31A0"/>
    <w:rsid w:val="003A66DD"/>
    <w:rsid w:val="003B1C97"/>
    <w:rsid w:val="003B1FC0"/>
    <w:rsid w:val="003B341E"/>
    <w:rsid w:val="003D3D50"/>
    <w:rsid w:val="003E530C"/>
    <w:rsid w:val="004034C8"/>
    <w:rsid w:val="00432CDC"/>
    <w:rsid w:val="00443BAF"/>
    <w:rsid w:val="004464D4"/>
    <w:rsid w:val="00461EB6"/>
    <w:rsid w:val="004761CD"/>
    <w:rsid w:val="004853D6"/>
    <w:rsid w:val="004865B6"/>
    <w:rsid w:val="00487935"/>
    <w:rsid w:val="004A5D98"/>
    <w:rsid w:val="004A71DE"/>
    <w:rsid w:val="004A7A09"/>
    <w:rsid w:val="004B0CA6"/>
    <w:rsid w:val="004C5B4C"/>
    <w:rsid w:val="004D1248"/>
    <w:rsid w:val="004D7F85"/>
    <w:rsid w:val="004E1FFC"/>
    <w:rsid w:val="00501AA3"/>
    <w:rsid w:val="005026C0"/>
    <w:rsid w:val="00515F03"/>
    <w:rsid w:val="00520717"/>
    <w:rsid w:val="005353A0"/>
    <w:rsid w:val="00543BA7"/>
    <w:rsid w:val="00562BBC"/>
    <w:rsid w:val="00575F5A"/>
    <w:rsid w:val="005846AB"/>
    <w:rsid w:val="005868F2"/>
    <w:rsid w:val="005A52F1"/>
    <w:rsid w:val="005A64D4"/>
    <w:rsid w:val="005B01F2"/>
    <w:rsid w:val="005B04C9"/>
    <w:rsid w:val="005C7E96"/>
    <w:rsid w:val="005F0398"/>
    <w:rsid w:val="005F6F5C"/>
    <w:rsid w:val="00603B24"/>
    <w:rsid w:val="00611849"/>
    <w:rsid w:val="006140CB"/>
    <w:rsid w:val="00632FC1"/>
    <w:rsid w:val="00634D4F"/>
    <w:rsid w:val="00635A1E"/>
    <w:rsid w:val="00644514"/>
    <w:rsid w:val="006676A0"/>
    <w:rsid w:val="00676C55"/>
    <w:rsid w:val="00683B68"/>
    <w:rsid w:val="00696442"/>
    <w:rsid w:val="0069686E"/>
    <w:rsid w:val="006B678C"/>
    <w:rsid w:val="006B6F9A"/>
    <w:rsid w:val="006B7DED"/>
    <w:rsid w:val="006C706E"/>
    <w:rsid w:val="006D0F12"/>
    <w:rsid w:val="006E368E"/>
    <w:rsid w:val="006F35A0"/>
    <w:rsid w:val="006F501F"/>
    <w:rsid w:val="00700883"/>
    <w:rsid w:val="00706C00"/>
    <w:rsid w:val="007134C5"/>
    <w:rsid w:val="007154B0"/>
    <w:rsid w:val="0073163A"/>
    <w:rsid w:val="0073451D"/>
    <w:rsid w:val="00740D4B"/>
    <w:rsid w:val="0074266B"/>
    <w:rsid w:val="00746CF7"/>
    <w:rsid w:val="007602AA"/>
    <w:rsid w:val="00762991"/>
    <w:rsid w:val="00763A7C"/>
    <w:rsid w:val="007657FA"/>
    <w:rsid w:val="007660E7"/>
    <w:rsid w:val="00780756"/>
    <w:rsid w:val="00781752"/>
    <w:rsid w:val="007839F7"/>
    <w:rsid w:val="007847BE"/>
    <w:rsid w:val="00786B59"/>
    <w:rsid w:val="007922B6"/>
    <w:rsid w:val="00793336"/>
    <w:rsid w:val="00795C9C"/>
    <w:rsid w:val="007A5189"/>
    <w:rsid w:val="007C0A6E"/>
    <w:rsid w:val="007C0CF8"/>
    <w:rsid w:val="007C6731"/>
    <w:rsid w:val="007D5C6C"/>
    <w:rsid w:val="007E0C64"/>
    <w:rsid w:val="007F6E7B"/>
    <w:rsid w:val="007F786A"/>
    <w:rsid w:val="00801DF2"/>
    <w:rsid w:val="00804AF0"/>
    <w:rsid w:val="00807834"/>
    <w:rsid w:val="00811212"/>
    <w:rsid w:val="0082044B"/>
    <w:rsid w:val="00830BB3"/>
    <w:rsid w:val="00833351"/>
    <w:rsid w:val="0083724D"/>
    <w:rsid w:val="0083796F"/>
    <w:rsid w:val="008421D2"/>
    <w:rsid w:val="00854EF2"/>
    <w:rsid w:val="0088749C"/>
    <w:rsid w:val="00894832"/>
    <w:rsid w:val="00896FA5"/>
    <w:rsid w:val="008A0362"/>
    <w:rsid w:val="008A3E75"/>
    <w:rsid w:val="008A62A3"/>
    <w:rsid w:val="008C17D5"/>
    <w:rsid w:val="008C2E4A"/>
    <w:rsid w:val="008C59FB"/>
    <w:rsid w:val="008D0BE1"/>
    <w:rsid w:val="008D2B2B"/>
    <w:rsid w:val="008D3B46"/>
    <w:rsid w:val="008E4A52"/>
    <w:rsid w:val="00905C7D"/>
    <w:rsid w:val="009149DA"/>
    <w:rsid w:val="0091571B"/>
    <w:rsid w:val="0092007A"/>
    <w:rsid w:val="00932316"/>
    <w:rsid w:val="009358A6"/>
    <w:rsid w:val="00935989"/>
    <w:rsid w:val="00950EB5"/>
    <w:rsid w:val="009614AB"/>
    <w:rsid w:val="009A528A"/>
    <w:rsid w:val="009B60E8"/>
    <w:rsid w:val="009E28CC"/>
    <w:rsid w:val="009E5660"/>
    <w:rsid w:val="009F11AA"/>
    <w:rsid w:val="00A00C93"/>
    <w:rsid w:val="00A16955"/>
    <w:rsid w:val="00A261E2"/>
    <w:rsid w:val="00A3711D"/>
    <w:rsid w:val="00A83F8F"/>
    <w:rsid w:val="00AB10CD"/>
    <w:rsid w:val="00AB5BCE"/>
    <w:rsid w:val="00AC4912"/>
    <w:rsid w:val="00AF1503"/>
    <w:rsid w:val="00B0587B"/>
    <w:rsid w:val="00B10521"/>
    <w:rsid w:val="00B127BF"/>
    <w:rsid w:val="00B30536"/>
    <w:rsid w:val="00B3099F"/>
    <w:rsid w:val="00B32C0B"/>
    <w:rsid w:val="00B44A09"/>
    <w:rsid w:val="00B53A5C"/>
    <w:rsid w:val="00B56069"/>
    <w:rsid w:val="00B60A58"/>
    <w:rsid w:val="00B6364B"/>
    <w:rsid w:val="00B70147"/>
    <w:rsid w:val="00B724E4"/>
    <w:rsid w:val="00B72F82"/>
    <w:rsid w:val="00B7469F"/>
    <w:rsid w:val="00B76B16"/>
    <w:rsid w:val="00B8689B"/>
    <w:rsid w:val="00B87F20"/>
    <w:rsid w:val="00B9346F"/>
    <w:rsid w:val="00B94F32"/>
    <w:rsid w:val="00B96242"/>
    <w:rsid w:val="00BA4100"/>
    <w:rsid w:val="00BB5684"/>
    <w:rsid w:val="00BD2FE9"/>
    <w:rsid w:val="00BE08D7"/>
    <w:rsid w:val="00BF1208"/>
    <w:rsid w:val="00BF1259"/>
    <w:rsid w:val="00C20E1C"/>
    <w:rsid w:val="00C20F82"/>
    <w:rsid w:val="00C222C0"/>
    <w:rsid w:val="00C50437"/>
    <w:rsid w:val="00C54C29"/>
    <w:rsid w:val="00C854CD"/>
    <w:rsid w:val="00C85EE4"/>
    <w:rsid w:val="00C90B46"/>
    <w:rsid w:val="00C9528E"/>
    <w:rsid w:val="00CA3315"/>
    <w:rsid w:val="00CA74BF"/>
    <w:rsid w:val="00CB64E8"/>
    <w:rsid w:val="00CC1489"/>
    <w:rsid w:val="00CE6AD5"/>
    <w:rsid w:val="00CF60D4"/>
    <w:rsid w:val="00D035EA"/>
    <w:rsid w:val="00D25356"/>
    <w:rsid w:val="00D41F99"/>
    <w:rsid w:val="00D45ECB"/>
    <w:rsid w:val="00D467C2"/>
    <w:rsid w:val="00D6571B"/>
    <w:rsid w:val="00D676CB"/>
    <w:rsid w:val="00D74E5F"/>
    <w:rsid w:val="00DC58D4"/>
    <w:rsid w:val="00DD1350"/>
    <w:rsid w:val="00DD21BB"/>
    <w:rsid w:val="00DD29BA"/>
    <w:rsid w:val="00DD350D"/>
    <w:rsid w:val="00DD4989"/>
    <w:rsid w:val="00DD4AE7"/>
    <w:rsid w:val="00DD5D7E"/>
    <w:rsid w:val="00DE0D27"/>
    <w:rsid w:val="00DE3FBD"/>
    <w:rsid w:val="00DE7AE0"/>
    <w:rsid w:val="00DF1D49"/>
    <w:rsid w:val="00E01A67"/>
    <w:rsid w:val="00E01F67"/>
    <w:rsid w:val="00E14E38"/>
    <w:rsid w:val="00E25C80"/>
    <w:rsid w:val="00E26555"/>
    <w:rsid w:val="00E26E86"/>
    <w:rsid w:val="00E36046"/>
    <w:rsid w:val="00E54F2B"/>
    <w:rsid w:val="00E6023F"/>
    <w:rsid w:val="00E62420"/>
    <w:rsid w:val="00E76E0B"/>
    <w:rsid w:val="00E808BB"/>
    <w:rsid w:val="00E86EEB"/>
    <w:rsid w:val="00E94BC9"/>
    <w:rsid w:val="00E96DF9"/>
    <w:rsid w:val="00EA4C38"/>
    <w:rsid w:val="00EC04F1"/>
    <w:rsid w:val="00ED255F"/>
    <w:rsid w:val="00ED2B73"/>
    <w:rsid w:val="00EE07EB"/>
    <w:rsid w:val="00EF4683"/>
    <w:rsid w:val="00EF605A"/>
    <w:rsid w:val="00F23228"/>
    <w:rsid w:val="00F24C6A"/>
    <w:rsid w:val="00F3373F"/>
    <w:rsid w:val="00F34BDF"/>
    <w:rsid w:val="00F56E9E"/>
    <w:rsid w:val="00F64A08"/>
    <w:rsid w:val="00F73994"/>
    <w:rsid w:val="00F8171C"/>
    <w:rsid w:val="00F82780"/>
    <w:rsid w:val="00FA3477"/>
    <w:rsid w:val="00FB3584"/>
    <w:rsid w:val="00FB4B33"/>
    <w:rsid w:val="00FB4DFF"/>
    <w:rsid w:val="00FB57B6"/>
    <w:rsid w:val="00FD5B5C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143779-4871-4738-A121-1E6FA95E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442"/>
    <w:rPr>
      <w:rFonts w:ascii="Arial" w:hAnsi="Arial"/>
      <w:sz w:val="24"/>
      <w:lang w:val="en-US" w:eastAsia="de-DE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96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">
    <w:name w:val="Logos"/>
    <w:link w:val="LogosZchn"/>
    <w:rsid w:val="00696442"/>
    <w:pPr>
      <w:tabs>
        <w:tab w:val="right" w:pos="2395"/>
      </w:tabs>
      <w:spacing w:before="120"/>
    </w:pPr>
    <w:rPr>
      <w:rFonts w:ascii="Arial" w:hAnsi="Arial"/>
      <w:color w:val="000000"/>
      <w:sz w:val="22"/>
      <w:szCs w:val="22"/>
      <w:lang w:val="en-GB" w:eastAsia="en-US" w:bidi="ar-SA"/>
    </w:rPr>
  </w:style>
  <w:style w:type="character" w:customStyle="1" w:styleId="LogosZchn">
    <w:name w:val="Logos Zchn"/>
    <w:basedOn w:val="DefaultParagraphFont"/>
    <w:link w:val="Logos"/>
    <w:rsid w:val="00696442"/>
    <w:rPr>
      <w:rFonts w:ascii="Arial" w:hAnsi="Arial"/>
      <w:color w:val="000000"/>
      <w:sz w:val="22"/>
      <w:szCs w:val="22"/>
      <w:lang w:val="en-GB" w:eastAsia="en-US" w:bidi="ar-SA"/>
    </w:rPr>
  </w:style>
  <w:style w:type="paragraph" w:styleId="Header">
    <w:name w:val="header"/>
    <w:aliases w:val="Daily events"/>
    <w:basedOn w:val="Normal"/>
    <w:rsid w:val="005B01F2"/>
    <w:pPr>
      <w:tabs>
        <w:tab w:val="center" w:pos="4320"/>
        <w:tab w:val="right" w:pos="8640"/>
      </w:tabs>
    </w:pPr>
  </w:style>
  <w:style w:type="paragraph" w:styleId="Footer">
    <w:name w:val="footer"/>
    <w:aliases w:val="Footer1,Footer11,Footer12,Footer111,Footer13,Footer112,Footer14,Footer113,Footer15,Footer114,Footer16,Footer115,Footer17,Footer116,Footer18,Footer117,Footer19,Footer118,Footer110,Footer119,Footer120,Footer1110,Footer121,Footer1111,Footer131"/>
    <w:basedOn w:val="Normal"/>
    <w:rsid w:val="005B01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</vt:lpstr>
    </vt:vector>
  </TitlesOfParts>
  <Company>Dodsal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</dc:title>
  <dc:subject/>
  <dc:creator>SAN j EEV.THOTA</dc:creator>
  <cp:keywords/>
  <dc:description/>
  <cp:lastModifiedBy>Candy</cp:lastModifiedBy>
  <cp:revision>2</cp:revision>
  <cp:lastPrinted>2010-02-09T02:09:00Z</cp:lastPrinted>
  <dcterms:created xsi:type="dcterms:W3CDTF">2022-05-25T10:57:00Z</dcterms:created>
  <dcterms:modified xsi:type="dcterms:W3CDTF">2022-05-25T10:57:00Z</dcterms:modified>
</cp:coreProperties>
</file>