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Autenticazione</w:t>
      </w:r>
    </w:p>
    <w:p w:rsidR="00000000" w:rsidDel="00000000" w:rsidP="00000000" w:rsidRDefault="00000000" w:rsidRPr="00000000" w14:paraId="00000002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Quando si vuole creare o partecipare ad una partita è necessario disporre di un account. L’accesso è la prima operazione che viene richiesta quando si avvia l’applicativo “Il Paroliere”.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Per eseguire l’accesso è necessario possedere un account; un account è formato da: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nickname</w:t>
      </w:r>
      <w:r w:rsidDel="00000000" w:rsidR="00000000" w:rsidRPr="00000000">
        <w:rPr>
          <w:rtl w:val="0"/>
        </w:rPr>
        <w:t xml:space="preserve">: pseudonimo per identificare una persona;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password di sicurezza che solo l’utente conosce;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: indirizzo di recapito per l’utente;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autenticazione</w:t>
      </w:r>
      <w:r w:rsidDel="00000000" w:rsidR="00000000" w:rsidRPr="00000000">
        <w:rPr>
          <w:rtl w:val="0"/>
        </w:rPr>
        <w:t xml:space="preserve">: identifica mediante una data il momento in cui è stato attivato l’account.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205"/>
        <w:gridCol w:w="2460"/>
        <w:gridCol w:w="2445"/>
        <w:tblGridChange w:id="0">
          <w:tblGrid>
            <w:gridCol w:w="1845"/>
            <w:gridCol w:w="2205"/>
            <w:gridCol w:w="2460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Gandalf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hjfgfhsjghfjkghd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gandalf19@gmail.com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12/02/2019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Non è buona norma memorizzare le password in chiaro all’interno del DB; è necessario utilizzare un sistema per criptare la password senza che possa essere svelata.</w:t>
      </w:r>
    </w:p>
    <w:p w:rsidR="00000000" w:rsidDel="00000000" w:rsidP="00000000" w:rsidRDefault="00000000" w:rsidRPr="00000000" w14:paraId="00000017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Si necessita quindi di un algoritmo non reversibile.</w:t>
      </w:r>
    </w:p>
    <w:p w:rsidR="00000000" w:rsidDel="00000000" w:rsidP="00000000" w:rsidRDefault="00000000" w:rsidRPr="00000000" w14:paraId="00000018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Esempi di algoritmi non reversibili sono: </w:t>
      </w:r>
      <w:r w:rsidDel="00000000" w:rsidR="00000000" w:rsidRPr="00000000">
        <w:rPr>
          <w:b w:val="1"/>
          <w:color w:val="666666"/>
          <w:rtl w:val="0"/>
        </w:rPr>
        <w:t xml:space="preserve">MD5</w:t>
      </w:r>
      <w:r w:rsidDel="00000000" w:rsidR="00000000" w:rsidRPr="00000000">
        <w:rPr>
          <w:color w:val="666666"/>
          <w:rtl w:val="0"/>
        </w:rPr>
        <w:t xml:space="preserve"> e </w:t>
      </w:r>
      <w:r w:rsidDel="00000000" w:rsidR="00000000" w:rsidRPr="00000000">
        <w:rPr>
          <w:b w:val="1"/>
          <w:color w:val="666666"/>
          <w:rtl w:val="0"/>
        </w:rPr>
        <w:t xml:space="preserve">SHA256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andare a memorizzare la password mediante un algoritmo non reversibile rende “impossibile” (molto difficoltoso) risalire alla password originale mantenendo memorizzata all’interno del DB una stringa di lunghezza costante (formata da ? caratteri).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(La rappresentazione degli utenti potrà variare in base a campi che le statistiche richiedono).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Registrazione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Mediante un’apposita schermata, dell'interfaccia  “Il Paroliere”, sarà possibile immettere i propri dati affinché la registrazione parta.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Si andranno ad inserire: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nickname</w:t>
      </w:r>
      <w:r w:rsidDel="00000000" w:rsidR="00000000" w:rsidRPr="00000000">
        <w:rPr>
          <w:rtl w:val="0"/>
        </w:rPr>
        <w:t xml:space="preserve">: (univoco nel DB degli utenti);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: composta da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&lt;indirizzo&gt;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&lt;dominio&gt;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&lt;it/org/com/...&gt;</w:t>
      </w:r>
    </w:p>
    <w:p w:rsidR="00000000" w:rsidDel="00000000" w:rsidP="00000000" w:rsidRDefault="00000000" w:rsidRPr="00000000" w14:paraId="00000027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(univoca nel DB degli utenti);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lunghezza minima di 8 caratteri ( ed altre caratteristiche se si volesse portare l’utente alla scelta di una password sicura).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volta inseriti si andrà a cliccare su di un apposito bottone (“Completa Registrazione”) dove sarà possibile completare la registrazione.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Cliccato sull’apposito bottone </w:t>
      </w:r>
      <w:r w:rsidDel="00000000" w:rsidR="00000000" w:rsidRPr="00000000">
        <w:rPr>
          <w:u w:val="single"/>
          <w:rtl w:val="0"/>
        </w:rPr>
        <w:t xml:space="preserve">non</w:t>
      </w:r>
      <w:r w:rsidDel="00000000" w:rsidR="00000000" w:rsidRPr="00000000">
        <w:rPr>
          <w:rtl w:val="0"/>
        </w:rPr>
        <w:t xml:space="preserve"> si sarà ufficialmente nel DB degli utenti registrati: bisognerà confermare, entro 10 minuti dall’invio dei dati, la propria identità attraverso la verifica via mail.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Viene di fatti recapitata una mail col seguente messaggio: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7815"/>
        <w:tblGridChange w:id="0">
          <w:tblGrid>
            <w:gridCol w:w="1185"/>
            <w:gridCol w:w="7815"/>
          </w:tblGrid>
        </w:tblGridChange>
      </w:tblGrid>
      <w:tr>
        <w:trPr>
          <w:trHeight w:val="495" w:hRule="atLeast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da: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IlParoliere@noreply.com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oggetto: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completamento registrazione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Gentile, la preghiamo di completare la registrazione al servizio “Il Paroliere” facendo un click su questo link: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0000ff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https://www.conferma.it</w:t>
              </w:r>
            </w:hyperlink>
            <w:r w:rsidDel="00000000" w:rsidR="00000000" w:rsidRPr="00000000">
              <w:rPr>
                <w:color w:val="0000ff"/>
                <w:rtl w:val="0"/>
              </w:rPr>
              <w:t xml:space="preserve">/</w:t>
            </w:r>
            <w:r w:rsidDel="00000000" w:rsidR="00000000" w:rsidRPr="00000000">
              <w:rPr>
                <w:color w:val="0000ff"/>
                <w:rtl w:val="0"/>
              </w:rPr>
              <w:t xml:space="preserve">username/il_paroliere/confirm.html</w:t>
            </w:r>
          </w:p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questo modo potrai iniziare a giocare al gioco online “Il Paroliere”.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Cliccando sul link (o anche un bottone) sarà possibile completare la registrazione.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Reset Password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Può capitare che si dimentichi la propria password. Il paroliere mette a disposizione un servizio per reimpostare la password.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All'avvio del client “Il Paroliere” sarà presente (in basso a destra… bho) la voce “reimposta password”; cliccandoci sopra si verrà reindirizzati in una schermata dove, inserendo l’indirizzo email/username sarà possibile ripristinare la password.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Inserita la mail/username verrà inviata una password temporanea tramite la quale accedere al servizio per reimpostare la password.</w:t>
      </w:r>
    </w:p>
    <w:p w:rsidR="00000000" w:rsidDel="00000000" w:rsidP="00000000" w:rsidRDefault="00000000" w:rsidRPr="00000000" w14:paraId="00000044">
      <w:pPr>
        <w:jc w:val="both"/>
        <w:rPr>
          <w:color w:val="66666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(sarebbe comodo fare l’MD5 sulla vecchia password e sovra-scriverla)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Casi Estremi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 un utente appena registrato che non ha ancora confermato via mail la propria identità non ricorda la password può usufruire comunque del servizio di reimpostazione della password.</w:t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(nonostante sia un completo deficiente; mettendo a repentaglio la sicurezza del proprio account)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Osservazioni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Sicuramente sarà necessaria una scissione fra </w:t>
      </w:r>
      <w:r w:rsidDel="00000000" w:rsidR="00000000" w:rsidRPr="00000000">
        <w:rPr>
          <w:b w:val="1"/>
          <w:rtl w:val="0"/>
        </w:rPr>
        <w:t xml:space="preserve">Utenti Autenticati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Utenti in attesa di autenticazione</w:t>
      </w:r>
      <w:r w:rsidDel="00000000" w:rsidR="00000000" w:rsidRPr="00000000">
        <w:rPr>
          <w:rtl w:val="0"/>
        </w:rPr>
        <w:t xml:space="preserve">: un utente non autenticato passa come autenticato se conferma la mail.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utente è autenticato nel momento in cui si trova fra gli utenti autenticati. Gli utenti non autenticati sono in attesa che vengano autenticati (via mail) e presentano la data e l’ora in cui hanno iniziato la procedura di registrazione.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550"/>
        <w:gridCol w:w="2595"/>
        <w:gridCol w:w="2550"/>
        <w:tblGridChange w:id="0">
          <w:tblGrid>
            <w:gridCol w:w="1770"/>
            <w:gridCol w:w="2550"/>
            <w:gridCol w:w="2595"/>
            <w:gridCol w:w="2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iscrizione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Gandalf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hjfgfhsjghfjkghd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gandalf19@gmail.com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12/02/2019 - 14:20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Quando si ha la conferma dell’autenticazione si inseriscono i dati relativi all’utente non autenticato nella sezione utenti autenticati.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Implementazione</w:t>
      </w:r>
    </w:p>
    <w:p w:rsidR="00000000" w:rsidDel="00000000" w:rsidP="00000000" w:rsidRDefault="00000000" w:rsidRPr="00000000" w14:paraId="00000064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Affinché risulti semplice ed efficace è necessario adottare sistemi di astrazione; uno dei sistemi di astrazione che SQL fornisce sono le viste.</w:t>
      </w:r>
    </w:p>
    <w:p w:rsidR="00000000" w:rsidDel="00000000" w:rsidP="00000000" w:rsidRDefault="00000000" w:rsidRPr="00000000" w14:paraId="00000066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è possibile creare anche viste parametriche.</w:t>
      </w:r>
    </w:p>
    <w:p w:rsidR="00000000" w:rsidDel="00000000" w:rsidP="00000000" w:rsidRDefault="00000000" w:rsidRPr="00000000" w14:paraId="00000067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è possibile creare transazioni, nel caso di passaggi critici all’interno del gioco/registrazione.</w:t>
      </w:r>
    </w:p>
    <w:p w:rsidR="00000000" w:rsidDel="00000000" w:rsidP="00000000" w:rsidRDefault="00000000" w:rsidRPr="00000000" w14:paraId="00000068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Le operazioni verranno quindi incapsulate all’interno di viste affinché all’interno del programma non venga mai citata la struttura del DB.</w:t>
      </w:r>
    </w:p>
    <w:p w:rsidR="00000000" w:rsidDel="00000000" w:rsidP="00000000" w:rsidRDefault="00000000" w:rsidRPr="00000000" w14:paraId="00000069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Così facendo è possibile cambiare la struttura del DB (e/o le viste senza) aggiornare i client.</w:t>
      </w:r>
    </w:p>
    <w:p w:rsidR="00000000" w:rsidDel="00000000" w:rsidP="00000000" w:rsidRDefault="00000000" w:rsidRPr="00000000" w14:paraId="0000006A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Saranno necessari funzionalità come: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ResettaPassword </w:t>
      </w:r>
      <w:r w:rsidDel="00000000" w:rsidR="00000000" w:rsidRPr="00000000">
        <w:rPr>
          <w:color w:val="666666"/>
          <w:rtl w:val="0"/>
        </w:rPr>
        <w:t xml:space="preserve">( nickname/mail 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VisualizzaDataAutenticazione </w:t>
      </w:r>
      <w:r w:rsidDel="00000000" w:rsidR="00000000" w:rsidRPr="00000000">
        <w:rPr>
          <w:color w:val="666666"/>
          <w:rtl w:val="0"/>
        </w:rPr>
        <w:t xml:space="preserve">( nickname/mail 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VerificaUtente </w:t>
      </w:r>
      <w:r w:rsidDel="00000000" w:rsidR="00000000" w:rsidRPr="00000000">
        <w:rPr>
          <w:color w:val="666666"/>
          <w:rtl w:val="0"/>
        </w:rPr>
        <w:t xml:space="preserve">( nickname/mail, password 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RegistraUtente </w:t>
      </w:r>
      <w:r w:rsidDel="00000000" w:rsidR="00000000" w:rsidRPr="00000000">
        <w:rPr>
          <w:color w:val="666666"/>
          <w:rtl w:val="0"/>
        </w:rPr>
        <w:t xml:space="preserve">( nickname, mail, password 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èAutenticato</w:t>
      </w:r>
      <w:r w:rsidDel="00000000" w:rsidR="00000000" w:rsidRPr="00000000">
        <w:rPr>
          <w:color w:val="666666"/>
          <w:rtl w:val="0"/>
        </w:rPr>
        <w:t xml:space="preserve"> ( nickname/mail 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ecc… </w:t>
      </w:r>
    </w:p>
    <w:p w:rsidR="00000000" w:rsidDel="00000000" w:rsidP="00000000" w:rsidRDefault="00000000" w:rsidRPr="00000000" w14:paraId="00000072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Alla creazione dello schema è utile impostare dei vincoli affinché non sia possibile, neanche forzatamente, inserire dati che causerebbero inconsistenza nel DB.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 rimozione per utenti che non hanno rispettato i limiti di tempo per l’autenticazione avverrà mediante una “</w:t>
      </w:r>
      <w:r w:rsidDel="00000000" w:rsidR="00000000" w:rsidRPr="00000000">
        <w:rPr>
          <w:i w:val="1"/>
          <w:color w:val="666666"/>
          <w:rtl w:val="0"/>
        </w:rPr>
        <w:t xml:space="preserve">routine SQL/function trigger</w:t>
      </w:r>
      <w:r w:rsidDel="00000000" w:rsidR="00000000" w:rsidRPr="00000000">
        <w:rPr>
          <w:color w:val="666666"/>
          <w:rtl w:val="0"/>
        </w:rPr>
        <w:t xml:space="preserve">”, che provvederà a cancellare coloro che hanno superato i limiti di tempo imposti.</w:t>
      </w:r>
    </w:p>
    <w:p w:rsidR="00000000" w:rsidDel="00000000" w:rsidP="00000000" w:rsidRDefault="00000000" w:rsidRPr="00000000" w14:paraId="00000077">
      <w:pPr>
        <w:jc w:val="both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(routine impostata per essere eseguita ogni 10 minuti (?))</w:t>
      </w:r>
    </w:p>
    <w:p w:rsidR="00000000" w:rsidDel="00000000" w:rsidP="00000000" w:rsidRDefault="00000000" w:rsidRPr="00000000" w14:paraId="00000078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PostgresSQL non implementa nativamente routine o function trigger basate sul tempo (es. ogni ora, ogni 10 minuti, ecc… ) è necessario adottare componenti esterni, come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cron</w:t>
      </w:r>
      <w:r w:rsidDel="00000000" w:rsidR="00000000" w:rsidRPr="00000000">
        <w:rPr>
          <w:color w:val="666666"/>
          <w:rtl w:val="0"/>
        </w:rPr>
        <w:t xml:space="preserve"> o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pg_agent</w:t>
      </w:r>
      <w:r w:rsidDel="00000000" w:rsidR="00000000" w:rsidRPr="00000000">
        <w:rPr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jc w:val="both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(da verificare se è possibile adottare questi componenti esterni)</w:t>
      </w:r>
    </w:p>
    <w:p w:rsidR="00000000" w:rsidDel="00000000" w:rsidP="00000000" w:rsidRDefault="00000000" w:rsidRPr="00000000" w14:paraId="0000007B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 vincoli presenti sugli attributi dovrebbero essere inseriti separatamente allo schema, poiché si perderebbe di vista la leggibilità del codice SQL. Inoltre, essendo possibile assegnare nomi ai vincoli, diverrebbe più chiaro e leggibile il significato di un vincolo.</w:t>
      </w:r>
    </w:p>
    <w:p w:rsidR="00000000" w:rsidDel="00000000" w:rsidP="00000000" w:rsidRDefault="00000000" w:rsidRPr="00000000" w14:paraId="0000007D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Il server mail si collegherà all’account istituzionale fornitoci per operare nel progetto; avrà le seguenti caratteristiche: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mail</w:t>
      </w:r>
      <w:r w:rsidDel="00000000" w:rsidR="00000000" w:rsidRPr="00000000">
        <w:rPr>
          <w:color w:val="666666"/>
          <w:rtl w:val="0"/>
        </w:rPr>
        <w:t xml:space="preserve">: la mail verrà scritta su di un file e caricata per completare il testo del messagio. Così facendo il testo del messaggio sarà indipendente dal servizio di invio mail e facilmente modificabile;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servizio di invio</w:t>
      </w:r>
      <w:r w:rsidDel="00000000" w:rsidR="00000000" w:rsidRPr="00000000">
        <w:rPr>
          <w:color w:val="666666"/>
          <w:rtl w:val="0"/>
        </w:rPr>
        <w:t xml:space="preserve">: il servizio di invio mail adottato è ovviamente SMTP;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invio mail di conferma</w:t>
      </w:r>
      <w:r w:rsidDel="00000000" w:rsidR="00000000" w:rsidRPr="00000000">
        <w:rPr>
          <w:color w:val="666666"/>
          <w:rtl w:val="0"/>
        </w:rPr>
        <w:t xml:space="preserve">: quando nell’applicativo “Il Paroliere” si andrà ad effettuare la registrazione si provvederà ad inviare la mail di conferma: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utilizzando “Il Paroliere”: una volta confermato l’inserimento dell’utente nella sezione “utenti da autenticare” richiamerà il servizio di invio mail;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utilizzando il server mail: il server mail ciclicamente visualizza se nel DB sono presenti utenti da utenticare e ciclicamente fa partire delle mail (ogni 5 minuti (?) per evitare che alcuni account non vengano autenticati in tempo);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altri sistemi attualmente sconosciuti.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autenticazione</w:t>
      </w:r>
      <w:r w:rsidDel="00000000" w:rsidR="00000000" w:rsidRPr="00000000">
        <w:rPr>
          <w:color w:val="666666"/>
          <w:rtl w:val="0"/>
        </w:rPr>
        <w:t xml:space="preserve">: la mail conterrà un link sul quale cliccare affinché sia possibile autenticare l’account; il link porterà o ad una richiesta SQL per l’avvenuta autenticazione o ad una pagina di conferma (server HTTP)</w:t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lParoliere@noreply.com" TargetMode="External"/><Relationship Id="rId7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