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Fonts w:ascii="Droid Sans" w:cs="Droid Sans" w:eastAsia="Droid Sans" w:hAnsi="Droid Sans"/>
          <w:b w:val="1"/>
          <w:sz w:val="96"/>
          <w:szCs w:val="96"/>
          <w:rtl w:val="0"/>
        </w:rPr>
        <w:t xml:space="preserve">Capítulo 3</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Fonts w:ascii="Droid Sans" w:cs="Droid Sans" w:eastAsia="Droid Sans" w:hAnsi="Droid Sans"/>
          <w:b w:val="1"/>
          <w:sz w:val="96"/>
          <w:szCs w:val="96"/>
          <w:rtl w:val="0"/>
        </w:rPr>
        <w:t xml:space="preserve">Hipótesis de trabajo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“Hipótesis de trabajo” debe entenderse cualquier cosa en que se base o que condicione el desarrollo que se va a realizar o la documentación del mismo. Formarían parte de esta categoría lenguajes de programación, APIs, sistemas gestores de bases de datos, arquitecturas y metodologías de diseño o implementación (p.e. Modelo-Vista-Controlador, AJAX, etc.), cualquier herramienta de desarrollo que se vayan a utilizar (IDE’s, Servicios, etc.), herramientas CASE. También se consideran parte de este apartado cualquier norma  (p.e. normas ISO) o estándares de aplicación que se vaya a utilizar en el desarrollo.</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aquí, se deberá crear una estructura de apartados y subapartados para organizar de la forma más adecuada posible toda la información que haya que plasmar en este capítulo. Dicho índice deberá ser consensuado entre el alumno y su director.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aspecto importante a considerar es el grado de detalle con que se va a tratar cada uno de los ítems de los que se va a hablar en este capítulo, esta cuestión también deberá acordarse entre alumno y director. Una norma general a considerar sería la siguiente; aquellos ítems que sean de uso más común o más conocidos serán tratados brevemente (p.e.: lenguajes como JAVA, PHP, HTML, etc…), y cuando haya alguna tecnología, lenguaje o herramienta novedosa o menos conocida, esta puede ser explicada con mayor lujo de detalle. En cualquier caso, al igual que en el el capítulo 2, se deberá tomar nota de todas las webs, libros y/o artículos consultados para reflejarlos en la bibliografía del capítulo 6.</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3.1.- . .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3.1.1.- . .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3.1.2.- . .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3.2.- . .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3.2.1.- . .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3.2.2.- . .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3228346456694" w:top="1417.3228346456694" w:left="1559.0551181102364" w:right="1559.05511811023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