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4840F">
      <w:pPr>
        <w:jc w:val="center"/>
      </w:pPr>
      <w:r>
        <w:rPr>
          <w:rFonts w:ascii="华文楷体" w:hAnsi="华文楷体" w:eastAsia="华文楷体"/>
          <w:b/>
          <w:sz w:val="44"/>
        </w:rPr>
        <w:t>小组间协调报告</w:t>
      </w:r>
    </w:p>
    <w:p w14:paraId="45F98CCD">
      <w:pPr>
        <w:spacing w:before="240" w:after="120"/>
        <w:jc w:val="center"/>
      </w:pPr>
      <w:r>
        <w:rPr>
          <w:rFonts w:ascii="华文楷体" w:hAnsi="华文楷体" w:eastAsia="华文楷体"/>
          <w:b/>
          <w:sz w:val="28"/>
        </w:rPr>
        <w:t>一、协调背景与项目目标</w:t>
      </w:r>
    </w:p>
    <w:p w14:paraId="211FE958">
      <w:pPr>
        <w:spacing w:line="360" w:lineRule="auto"/>
        <w:ind w:firstLine="420"/>
      </w:pPr>
      <w:r>
        <w:rPr>
          <w:rFonts w:ascii="华文楷体" w:hAnsi="华文楷体" w:eastAsia="华文楷体"/>
          <w:sz w:val="21"/>
        </w:rPr>
        <w:t>本系统为软件综合实践课程的团队项目，目标是构建一套面向认知障碍早期诊断的临床数据采集系统，覆盖受试者信息录入、神经心理量表自动计分与解释、管理者后台，以及病历的导入与导出。</w:t>
      </w:r>
    </w:p>
    <w:p w14:paraId="3CE01997">
      <w:pPr>
        <w:spacing w:line="360" w:lineRule="auto"/>
        <w:ind w:firstLine="420"/>
      </w:pPr>
      <w:r>
        <w:rPr>
          <w:rFonts w:ascii="华文楷体" w:hAnsi="华文楷体" w:eastAsia="华文楷体"/>
          <w:sz w:val="21"/>
        </w:rPr>
        <w:t>项目的呈现形态经历了一个关键决策：在第一次小组会议之前，指导老师提出——可以脱离小程序的形态限制，用一个大的页面来整体展现整个项目。受此启发，小组一致确定以网页（Web 应用）作为系统的统一呈现形式，而非受限的小程序。这一决策使前后端可以独立开发、统一在浏览器中演示，也为后续引入在线数据库与 AI 模型预留了开放接口。</w:t>
      </w:r>
    </w:p>
    <w:p w14:paraId="1C9E3D89">
      <w:pPr>
        <w:spacing w:before="240" w:after="120"/>
        <w:jc w:val="center"/>
      </w:pPr>
      <w:r>
        <w:rPr>
          <w:rFonts w:ascii="华文楷体" w:hAnsi="华文楷体" w:eastAsia="华文楷体"/>
          <w:b/>
          <w:sz w:val="28"/>
        </w:rPr>
        <w:t>二、第一次会议：功能设想会议</w:t>
      </w:r>
    </w:p>
    <w:p w14:paraId="0C2BA817">
      <w:pPr>
        <w:spacing w:line="360" w:lineRule="auto"/>
        <w:ind w:firstLine="420"/>
      </w:pPr>
      <w:r>
        <w:rPr>
          <w:rFonts w:ascii="华文楷体" w:hAnsi="华文楷体" w:eastAsia="华文楷体"/>
          <w:sz w:val="21"/>
        </w:rPr>
        <w:t>第一次会议确立了系统的功能边界，形成四项核心设想：</w:t>
      </w:r>
    </w:p>
    <w:p w14:paraId="36501E5B">
      <w:pPr>
        <w:spacing w:line="360" w:lineRule="auto"/>
        <w:ind w:firstLine="420"/>
      </w:pPr>
      <w:r>
        <w:rPr>
          <w:rFonts w:ascii="华文楷体" w:hAnsi="华文楷体" w:eastAsia="华文楷体"/>
          <w:sz w:val="21"/>
        </w:rPr>
        <w:t>1. 信息录入：结构化采集受试者人口学信息、病史与多模态临床资料；</w:t>
      </w:r>
    </w:p>
    <w:p w14:paraId="64FB9FC8">
      <w:pPr>
        <w:spacing w:line="360" w:lineRule="auto"/>
        <w:ind w:firstLine="420"/>
      </w:pPr>
      <w:r>
        <w:rPr>
          <w:rFonts w:ascii="华文楷体" w:hAnsi="华文楷体" w:eastAsia="华文楷体"/>
          <w:sz w:val="21"/>
        </w:rPr>
        <w:t>2. 自动计分与解释：量表录入后由程序自动计算得分并给出结果解释；</w:t>
      </w:r>
    </w:p>
    <w:p w14:paraId="18544DCE">
      <w:pPr>
        <w:spacing w:line="360" w:lineRule="auto"/>
        <w:ind w:firstLine="420"/>
      </w:pPr>
      <w:r>
        <w:rPr>
          <w:rFonts w:ascii="华文楷体" w:hAnsi="华文楷体" w:eastAsia="华文楷体"/>
          <w:sz w:val="21"/>
        </w:rPr>
        <w:t>3. 管理者页：供研究者 / 医生查看队列、导出数据与监控进度；</w:t>
      </w:r>
    </w:p>
    <w:p w14:paraId="6A1CFCE7">
      <w:pPr>
        <w:spacing w:line="360" w:lineRule="auto"/>
        <w:ind w:firstLine="420"/>
      </w:pPr>
      <w:r>
        <w:rPr>
          <w:rFonts w:ascii="华文楷体" w:hAnsi="华文楷体" w:eastAsia="华文楷体"/>
          <w:sz w:val="21"/>
        </w:rPr>
        <w:t>4. 病历导入导出：支持临床病历的结构化导入与结果导出。</w:t>
      </w:r>
    </w:p>
    <w:p w14:paraId="29225F55">
      <w:pPr>
        <w:spacing w:line="360" w:lineRule="auto"/>
        <w:ind w:firstLine="420"/>
      </w:pPr>
      <w:r>
        <w:rPr>
          <w:rFonts w:ascii="华文楷体" w:hAnsi="华文楷体" w:eastAsia="华文楷体"/>
          <w:sz w:val="21"/>
        </w:rPr>
        <w:t>会上达成的技术共识包括：数据主线统一（前后端以同一份数据契约为准）、计分与渲染分离（计分逻辑独立于 UI，便于复用与测试）。这些共识为后续三线并行开发奠定了基础。</w:t>
      </w:r>
    </w:p>
    <w:p w14:paraId="3A11463A">
      <w:pPr>
        <w:spacing w:before="240" w:after="120"/>
        <w:jc w:val="center"/>
      </w:pPr>
      <w:r>
        <w:rPr>
          <w:rFonts w:ascii="华文楷体" w:hAnsi="华文楷体" w:eastAsia="华文楷体"/>
          <w:b/>
          <w:sz w:val="28"/>
        </w:rPr>
        <w:t>三、第二次会议：阶段成果汇总</w:t>
      </w:r>
    </w:p>
    <w:p w14:paraId="769C5ACF">
      <w:pPr>
        <w:spacing w:line="360" w:lineRule="auto"/>
        <w:ind w:firstLine="420"/>
      </w:pPr>
      <w:r>
        <w:rPr>
          <w:rFonts w:ascii="华文楷体" w:hAnsi="华文楷体" w:eastAsia="华文楷体"/>
          <w:sz w:val="21"/>
        </w:rPr>
        <w:t>第二次会议对照第一次会议的功能设想，汇总了三条工作线的阶段成果：</w:t>
      </w:r>
    </w:p>
    <w:p w14:paraId="69C00C84">
      <w:pPr>
        <w:spacing w:line="360" w:lineRule="auto"/>
        <w:ind w:firstLine="420"/>
      </w:pPr>
      <w:r>
        <w:rPr>
          <w:rFonts w:ascii="华文楷体" w:hAnsi="华文楷体" w:eastAsia="华文楷体"/>
          <w:sz w:val="21"/>
        </w:rPr>
        <w:t>1. 后端接口组：完成接口框架，可独立运行并提供数据读写；</w:t>
      </w:r>
    </w:p>
    <w:p w14:paraId="51802587">
      <w:pPr>
        <w:spacing w:line="360" w:lineRule="auto"/>
        <w:ind w:firstLine="420"/>
      </w:pPr>
      <w:r>
        <w:rPr>
          <w:rFonts w:ascii="华文楷体" w:hAnsi="华文楷体" w:eastAsia="华文楷体"/>
          <w:sz w:val="21"/>
        </w:rPr>
        <w:t>2. 管理后台组：基于 Vue3 + Element Plus 搭建管理后台，完成度约 90%（含队列看板、患者管理、数据导出、操作日志等）；</w:t>
      </w:r>
    </w:p>
    <w:p w14:paraId="31CC8F6F">
      <w:pPr>
        <w:spacing w:line="360" w:lineRule="auto"/>
        <w:ind w:firstLine="420"/>
      </w:pPr>
      <w:r>
        <w:rPr>
          <w:rFonts w:ascii="华文楷体" w:hAnsi="华文楷体" w:eastAsia="华文楷体"/>
          <w:sz w:val="21"/>
        </w:rPr>
        <w:t>3. 前端交互组：完成前端 Mock 环境下的独立演示，并开始适配真实后端接口。</w:t>
      </w:r>
    </w:p>
    <w:p w14:paraId="7CBB9A18">
      <w:pPr>
        <w:spacing w:line="360" w:lineRule="auto"/>
        <w:ind w:firstLine="420"/>
      </w:pPr>
      <w:r>
        <w:rPr>
          <w:rFonts w:ascii="华文楷体" w:hAnsi="华文楷体" w:eastAsia="华文楷体"/>
          <w:sz w:val="21"/>
        </w:rPr>
        <w:t>这一阶段的主要协调难点在于前后端字段口径对齐，以及原型管理端与最终交付技术栈的关系处理。</w:t>
      </w:r>
    </w:p>
    <w:p w14:paraId="483EBB7A">
      <w:pPr>
        <w:spacing w:before="240" w:after="120"/>
        <w:jc w:val="center"/>
      </w:pPr>
      <w:r>
        <w:rPr>
          <w:rFonts w:ascii="华文楷体" w:hAnsi="华文楷体" w:eastAsia="华文楷体"/>
          <w:b/>
          <w:sz w:val="28"/>
        </w:rPr>
        <w:t>四、第三次会议：引入 AI 能力进行分值判断</w:t>
      </w:r>
    </w:p>
    <w:p w14:paraId="1C7A0975">
      <w:pPr>
        <w:spacing w:line="360" w:lineRule="auto"/>
        <w:ind w:firstLine="420"/>
      </w:pPr>
      <w:r>
        <w:rPr>
          <w:rFonts w:ascii="华文楷体" w:hAnsi="华文楷体" w:eastAsia="华文楷体"/>
          <w:sz w:val="21"/>
        </w:rPr>
        <w:t>第三次组会上，助教提出一条关键建议：可以利用网上的相关数据库，或者链接 AI 模型，用以完成量表 / 临床资料的具体分值判断。</w:t>
      </w:r>
    </w:p>
    <w:p w14:paraId="669EBD1F">
      <w:pPr>
        <w:spacing w:line="360" w:lineRule="auto"/>
        <w:ind w:firstLine="420"/>
      </w:pPr>
      <w:r>
        <w:rPr>
          <w:rFonts w:ascii="华文楷体" w:hAnsi="华文楷体" w:eastAsia="华文楷体"/>
          <w:sz w:val="21"/>
        </w:rPr>
        <w:t>这一建议直接催生了最终成品系统中的“AI 辅助研判”模块：</w:t>
      </w:r>
    </w:p>
    <w:p w14:paraId="3787F65A">
      <w:pPr>
        <w:spacing w:line="360" w:lineRule="auto"/>
        <w:ind w:firstLine="420"/>
      </w:pPr>
      <w:r>
        <w:rPr>
          <w:rFonts w:ascii="华文楷体" w:hAnsi="华文楷体" w:eastAsia="华文楷体"/>
          <w:sz w:val="21"/>
        </w:rPr>
        <w:t>1. 后端接入 Gemini 大语言模型，提供临床推理研判、综合量表分析、OCR 病历解析三类 AI 能力；</w:t>
      </w:r>
    </w:p>
    <w:p w14:paraId="6A6F82B2">
      <w:pPr>
        <w:spacing w:line="360" w:lineRule="auto"/>
        <w:ind w:firstLine="420"/>
      </w:pPr>
      <w:r>
        <w:rPr>
          <w:rFonts w:ascii="华文楷体" w:hAnsi="华文楷体" w:eastAsia="华文楷体"/>
          <w:sz w:val="21"/>
        </w:rPr>
        <w:t>2. 在网络或密钥不可用的情况下，系统自动降级为规则引擎兜底，保证核心量表与流程不受影响；</w:t>
      </w:r>
    </w:p>
    <w:p w14:paraId="51E3DF32">
      <w:pPr>
        <w:spacing w:line="360" w:lineRule="auto"/>
        <w:ind w:firstLine="420"/>
      </w:pPr>
      <w:r>
        <w:rPr>
          <w:rFonts w:ascii="华文楷体" w:hAnsi="华文楷体" w:eastAsia="华文楷体"/>
          <w:sz w:val="21"/>
        </w:rPr>
        <w:t>3. 所有 AI 给出的判断必须经过医生签字确认方可生效，形成“AI 辅助 + 人工终审”的闭环。</w:t>
      </w:r>
    </w:p>
    <w:p w14:paraId="7F6735F1">
      <w:pPr>
        <w:spacing w:line="360" w:lineRule="auto"/>
        <w:ind w:firstLine="420"/>
      </w:pPr>
      <w:r>
        <w:rPr>
          <w:rFonts w:ascii="华文楷体" w:hAnsi="华文楷体" w:eastAsia="华文楷体"/>
          <w:sz w:val="21"/>
        </w:rPr>
        <w:t>可以说，助教关于“用 AI 判断具体分值”的建议，是最终系统区别于早期原型、体现智能化增量的重要来源。</w:t>
      </w:r>
    </w:p>
    <w:p w14:paraId="0D9EE8E4">
      <w:pPr>
        <w:spacing w:before="240" w:after="120"/>
        <w:jc w:val="center"/>
      </w:pPr>
      <w:r>
        <w:rPr>
          <w:rFonts w:ascii="华文楷体" w:hAnsi="华文楷体" w:eastAsia="华文楷体"/>
          <w:b/>
          <w:sz w:val="28"/>
        </w:rPr>
        <w:t>五、协调机制</w:t>
      </w:r>
    </w:p>
    <w:p w14:paraId="6CDFD7CE">
      <w:pPr>
        <w:spacing w:line="360" w:lineRule="auto"/>
        <w:ind w:firstLine="420"/>
      </w:pPr>
      <w:r>
        <w:rPr>
          <w:rFonts w:ascii="华文楷体" w:hAnsi="华文楷体" w:eastAsia="华文楷体"/>
          <w:sz w:val="21"/>
        </w:rPr>
        <w:t>为保障三线并行开发不脱节，小组建立了以下协调机制：</w:t>
      </w:r>
    </w:p>
    <w:p w14:paraId="53744B74">
      <w:pPr>
        <w:spacing w:line="360" w:lineRule="auto"/>
        <w:ind w:firstLine="420"/>
      </w:pPr>
      <w:r>
        <w:rPr>
          <w:rFonts w:ascii="华文楷体" w:hAnsi="华文楷体" w:eastAsia="华文楷体"/>
          <w:sz w:val="21"/>
        </w:rPr>
        <w:t>1. 接口契约先行：先定义数据类型与 API 语义，再各自实现；</w:t>
      </w:r>
    </w:p>
    <w:p w14:paraId="2D6D000E">
      <w:pPr>
        <w:spacing w:line="360" w:lineRule="auto"/>
        <w:ind w:firstLine="420"/>
      </w:pPr>
      <w:r>
        <w:rPr>
          <w:rFonts w:ascii="华文楷体" w:hAnsi="华文楷体" w:eastAsia="华文楷体"/>
          <w:sz w:val="21"/>
        </w:rPr>
        <w:t>2. 每周例会：同步进度、暴露阻塞、统一口径；</w:t>
      </w:r>
    </w:p>
    <w:p w14:paraId="637091C7">
      <w:pPr>
        <w:spacing w:line="360" w:lineRule="auto"/>
        <w:ind w:firstLine="420"/>
      </w:pPr>
      <w:r>
        <w:rPr>
          <w:rFonts w:ascii="华文楷体" w:hAnsi="华文楷体" w:eastAsia="华文楷体"/>
          <w:sz w:val="21"/>
        </w:rPr>
        <w:t>3. 版本与质量闸门：使用 Git 协作，并以 tsc 类型检查（0 错误）与构建作为合并闸门；</w:t>
      </w:r>
    </w:p>
    <w:p w14:paraId="3A369E9A">
      <w:pPr>
        <w:spacing w:line="360" w:lineRule="auto"/>
        <w:ind w:firstLine="420"/>
      </w:pPr>
      <w:r>
        <w:rPr>
          <w:rFonts w:ascii="华文楷体" w:hAnsi="华文楷体" w:eastAsia="华文楷体"/>
          <w:sz w:val="21"/>
        </w:rPr>
        <w:t>4. Mock 与真实接口解耦：前端可用 Mock 独立演示，再平滑切换到真实接口；</w:t>
      </w:r>
    </w:p>
    <w:p w14:paraId="38E0F14A">
      <w:pPr>
        <w:spacing w:line="360" w:lineRule="auto"/>
        <w:ind w:firstLine="420"/>
      </w:pPr>
      <w:r>
        <w:rPr>
          <w:rFonts w:ascii="华文楷体" w:hAnsi="华文楷体" w:eastAsia="华文楷体"/>
          <w:sz w:val="21"/>
        </w:rPr>
        <w:t>5. 业务口径统一裁决：量表计分规则、诊断分层等由小组统一确认，避免各自实现导致偏差。</w:t>
      </w:r>
    </w:p>
    <w:p w14:paraId="7CF304BA">
      <w:pPr>
        <w:spacing w:before="240" w:after="120"/>
        <w:jc w:val="center"/>
      </w:pPr>
      <w:r>
        <w:rPr>
          <w:rFonts w:ascii="华文楷体" w:hAnsi="华文楷体" w:eastAsia="华文楷体"/>
          <w:b/>
          <w:sz w:val="28"/>
        </w:rPr>
        <w:t>六、关键决策</w:t>
      </w:r>
    </w:p>
    <w:p w14:paraId="05BAD03D">
      <w:pPr>
        <w:spacing w:line="360" w:lineRule="auto"/>
        <w:ind w:firstLine="420"/>
      </w:pPr>
      <w:r>
        <w:rPr>
          <w:rFonts w:ascii="华文楷体" w:hAnsi="华文楷体" w:eastAsia="华文楷体"/>
          <w:sz w:val="21"/>
        </w:rPr>
        <w:t>1. 技术路线统一：第二周阶段成果中的 Vue3 管理后台，经小组评估后统一整合为 React + TypeScript 单栈，功能清单整体迁移——这既解释了原型存在的价值，也与最终成品系统完全一致；</w:t>
      </w:r>
    </w:p>
    <w:p w14:paraId="101388D9">
      <w:pPr>
        <w:spacing w:line="360" w:lineRule="auto"/>
        <w:ind w:firstLine="420"/>
      </w:pPr>
      <w:r>
        <w:rPr>
          <w:rFonts w:ascii="华文楷体" w:hAnsi="华文楷体" w:eastAsia="华文楷体"/>
          <w:sz w:val="21"/>
        </w:rPr>
        <w:t>2. 模拟功能必须标识来源：AI / OCR 等未接通真实服务时须明确标注“模拟 / 规则兜底”，避免演示误导；</w:t>
      </w:r>
    </w:p>
    <w:p w14:paraId="7D52A2F3">
      <w:pPr>
        <w:spacing w:line="360" w:lineRule="auto"/>
        <w:ind w:firstLine="420"/>
      </w:pPr>
      <w:r>
        <w:rPr>
          <w:rFonts w:ascii="华文楷体" w:hAnsi="华文楷体" w:eastAsia="华文楷体"/>
          <w:sz w:val="21"/>
        </w:rPr>
        <w:t>3. AI 研判须医生签字：任何 AI 给出的结论都需人工确认后才生效。</w:t>
      </w:r>
    </w:p>
    <w:p w14:paraId="0CB7B685">
      <w:pPr>
        <w:spacing w:before="240" w:after="120"/>
        <w:jc w:val="center"/>
      </w:pPr>
      <w:r>
        <w:rPr>
          <w:rFonts w:ascii="华文楷体" w:hAnsi="华文楷体" w:eastAsia="华文楷体"/>
          <w:b/>
          <w:sz w:val="28"/>
        </w:rPr>
        <w:t>七、阶段成果与最终系统对应关系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2835"/>
        <w:gridCol w:w="4309"/>
      </w:tblGrid>
      <w:tr w14:paraId="13DAD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top"/>
          </w:tcPr>
          <w:p w14:paraId="2FEE81BE">
            <w:pPr>
              <w:spacing w:after="0" w:line="300" w:lineRule="auto"/>
              <w:jc w:val="left"/>
              <w:rPr>
                <w:b w:val="0"/>
                <w:color w:val="000000"/>
              </w:rPr>
            </w:pPr>
            <w:r>
              <w:rPr>
                <w:rFonts w:ascii="华文楷体" w:hAnsi="华文楷体" w:eastAsia="华文楷体"/>
                <w:b w:val="0"/>
                <w:color w:val="000000"/>
                <w:sz w:val="21"/>
              </w:rPr>
              <w:t>阶段 / 会议</w:t>
            </w:r>
          </w:p>
        </w:tc>
        <w:tc>
          <w:tcPr>
            <w:tcW w:w="283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567EFECE">
            <w:pPr>
              <w:spacing w:after="0" w:line="300" w:lineRule="auto"/>
              <w:jc w:val="left"/>
              <w:rPr>
                <w:b w:val="0"/>
                <w:color w:val="000000"/>
              </w:rPr>
            </w:pPr>
            <w:r>
              <w:rPr>
                <w:rFonts w:ascii="华文楷体" w:hAnsi="华文楷体" w:eastAsia="华文楷体"/>
                <w:b w:val="0"/>
                <w:color w:val="000000"/>
                <w:sz w:val="21"/>
              </w:rPr>
              <w:t>阶段成果</w:t>
            </w:r>
          </w:p>
        </w:tc>
        <w:tc>
          <w:tcPr>
            <w:tcW w:w="430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4982338F">
            <w:pPr>
              <w:spacing w:after="0" w:line="300" w:lineRule="auto"/>
              <w:jc w:val="left"/>
              <w:rPr>
                <w:b w:val="0"/>
                <w:color w:val="000000"/>
              </w:rPr>
            </w:pPr>
            <w:r>
              <w:rPr>
                <w:rFonts w:ascii="华文楷体" w:hAnsi="华文楷体" w:eastAsia="华文楷体"/>
                <w:b w:val="0"/>
                <w:color w:val="000000"/>
                <w:sz w:val="21"/>
              </w:rPr>
              <w:t>最终系统对应实现</w:t>
            </w:r>
          </w:p>
        </w:tc>
      </w:tr>
      <w:tr w14:paraId="40C3C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03EB5F2F">
            <w:pPr>
              <w:spacing w:after="0" w:line="300" w:lineRule="auto"/>
              <w:jc w:val="left"/>
              <w:rPr>
                <w:b w:val="0"/>
                <w:color w:val="000000"/>
              </w:rPr>
            </w:pPr>
            <w:r>
              <w:rPr>
                <w:rFonts w:ascii="华文楷体" w:hAnsi="华文楷体" w:eastAsia="华文楷体"/>
                <w:b w:val="0"/>
                <w:color w:val="000000"/>
                <w:sz w:val="21"/>
              </w:rPr>
              <w:t>第一次会议</w:t>
            </w:r>
          </w:p>
        </w:tc>
        <w:tc>
          <w:tcPr>
            <w:tcW w:w="283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29BFA34">
            <w:pPr>
              <w:spacing w:after="0" w:line="300" w:lineRule="auto"/>
              <w:jc w:val="left"/>
              <w:rPr>
                <w:b w:val="0"/>
                <w:color w:val="000000"/>
              </w:rPr>
            </w:pPr>
            <w:r>
              <w:rPr>
                <w:rFonts w:ascii="华文楷体" w:hAnsi="华文楷体" w:eastAsia="华文楷体"/>
                <w:b w:val="0"/>
                <w:color w:val="000000"/>
                <w:sz w:val="21"/>
              </w:rPr>
              <w:t>功能设想：信息录入、自动计分、管理者页、病历导入导出</w:t>
            </w:r>
          </w:p>
        </w:tc>
        <w:tc>
          <w:tcPr>
            <w:tcW w:w="430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6D13C02">
            <w:pPr>
              <w:spacing w:after="0" w:line="300" w:lineRule="auto"/>
              <w:jc w:val="left"/>
              <w:rPr>
                <w:b w:val="0"/>
                <w:color w:val="000000"/>
              </w:rPr>
            </w:pPr>
            <w:r>
              <w:rPr>
                <w:rFonts w:ascii="华文楷体" w:hAnsi="华文楷体" w:eastAsia="华文楷体"/>
                <w:b w:val="0"/>
                <w:color w:val="000000"/>
                <w:sz w:val="21"/>
              </w:rPr>
              <w:t>三端流程 + 10 个核心量表计分引擎 + 医生 / 管理端页面 + 病历解析导出</w:t>
            </w:r>
          </w:p>
        </w:tc>
      </w:tr>
      <w:tr w14:paraId="76C8E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CD7DAC9">
            <w:pPr>
              <w:spacing w:after="0" w:line="300" w:lineRule="auto"/>
              <w:jc w:val="left"/>
              <w:rPr>
                <w:b w:val="0"/>
                <w:color w:val="000000"/>
              </w:rPr>
            </w:pPr>
            <w:r>
              <w:rPr>
                <w:rFonts w:ascii="华文楷体" w:hAnsi="华文楷体" w:eastAsia="华文楷体"/>
                <w:b w:val="0"/>
                <w:color w:val="000000"/>
                <w:sz w:val="21"/>
              </w:rPr>
              <w:t>第二次会议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EBE070B">
            <w:pPr>
              <w:spacing w:after="0" w:line="300" w:lineRule="auto"/>
              <w:jc w:val="left"/>
              <w:rPr>
                <w:b w:val="0"/>
                <w:color w:val="000000"/>
              </w:rPr>
            </w:pPr>
            <w:r>
              <w:rPr>
                <w:rFonts w:ascii="华文楷体" w:hAnsi="华文楷体" w:eastAsia="华文楷体"/>
                <w:b w:val="0"/>
                <w:color w:val="000000"/>
                <w:sz w:val="21"/>
              </w:rPr>
              <w:t>后端接口框架、Vue3 管理后台≈90%、前端 Mock 演示</w:t>
            </w:r>
          </w:p>
        </w:tc>
        <w:tc>
          <w:tcPr>
            <w:tcW w:w="43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3B180C8">
            <w:pPr>
              <w:spacing w:after="0" w:line="300" w:lineRule="auto"/>
              <w:jc w:val="left"/>
              <w:rPr>
                <w:b w:val="0"/>
                <w:color w:val="000000"/>
              </w:rPr>
            </w:pPr>
            <w:r>
              <w:rPr>
                <w:rFonts w:ascii="华文楷体" w:hAnsi="华文楷体" w:eastAsia="华文楷体"/>
                <w:b w:val="0"/>
                <w:color w:val="000000"/>
                <w:sz w:val="21"/>
              </w:rPr>
              <w:t>19 条 HTTP 路由（14 业务 + 4 辅助）、React 单栈整合、本地离线库</w:t>
            </w:r>
          </w:p>
        </w:tc>
      </w:tr>
      <w:tr w14:paraId="438C1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E1EBD02">
            <w:pPr>
              <w:spacing w:after="0" w:line="300" w:lineRule="auto"/>
              <w:jc w:val="left"/>
              <w:rPr>
                <w:b w:val="0"/>
                <w:color w:val="000000"/>
              </w:rPr>
            </w:pPr>
            <w:r>
              <w:rPr>
                <w:rFonts w:ascii="华文楷体" w:hAnsi="华文楷体" w:eastAsia="华文楷体"/>
                <w:b w:val="0"/>
                <w:color w:val="000000"/>
                <w:sz w:val="21"/>
              </w:rPr>
              <w:t>第三次会议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5EAFBE3">
            <w:pPr>
              <w:spacing w:after="0" w:line="300" w:lineRule="auto"/>
              <w:jc w:val="left"/>
              <w:rPr>
                <w:b w:val="0"/>
                <w:color w:val="000000"/>
              </w:rPr>
            </w:pPr>
            <w:r>
              <w:rPr>
                <w:rFonts w:ascii="华文楷体" w:hAnsi="华文楷体" w:eastAsia="华文楷体"/>
                <w:b w:val="0"/>
                <w:color w:val="000000"/>
                <w:sz w:val="21"/>
              </w:rPr>
              <w:t>助教建议：用在线数据库 / AI 模型判断具体分值</w:t>
            </w:r>
          </w:p>
        </w:tc>
        <w:tc>
          <w:tcPr>
            <w:tcW w:w="43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22CE3D3">
            <w:pPr>
              <w:spacing w:after="0" w:line="300" w:lineRule="auto"/>
              <w:jc w:val="left"/>
              <w:rPr>
                <w:b w:val="0"/>
                <w:color w:val="000000"/>
              </w:rPr>
            </w:pPr>
            <w:r>
              <w:rPr>
                <w:rFonts w:ascii="华文楷体" w:hAnsi="华文楷体" w:eastAsia="华文楷体"/>
                <w:b w:val="0"/>
                <w:color w:val="000000"/>
                <w:sz w:val="21"/>
              </w:rPr>
              <w:t>Gemini AI 研判 + 规则引擎兜底 + 医生签字闭环</w:t>
            </w:r>
          </w:p>
        </w:tc>
      </w:tr>
      <w:tr w14:paraId="10F18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9EC63D7">
            <w:pPr>
              <w:spacing w:after="0" w:line="300" w:lineRule="auto"/>
              <w:jc w:val="left"/>
              <w:rPr>
                <w:b w:val="0"/>
                <w:color w:val="000000"/>
              </w:rPr>
            </w:pPr>
            <w:r>
              <w:rPr>
                <w:rFonts w:ascii="华文楷体" w:hAnsi="华文楷体" w:eastAsia="华文楷体"/>
                <w:b w:val="0"/>
                <w:color w:val="000000"/>
                <w:sz w:val="21"/>
              </w:rPr>
              <w:t>贯穿全程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010D5001">
            <w:pPr>
              <w:spacing w:after="0" w:line="300" w:lineRule="auto"/>
              <w:jc w:val="left"/>
              <w:rPr>
                <w:b w:val="0"/>
                <w:color w:val="000000"/>
              </w:rPr>
            </w:pPr>
            <w:r>
              <w:rPr>
                <w:rFonts w:ascii="华文楷体" w:hAnsi="华文楷体" w:eastAsia="华文楷体"/>
                <w:b w:val="0"/>
                <w:color w:val="000000"/>
                <w:sz w:val="21"/>
              </w:rPr>
              <w:t>计分与渲染分离、数据主线统一</w:t>
            </w:r>
          </w:p>
        </w:tc>
        <w:tc>
          <w:tcPr>
            <w:tcW w:w="43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1705AEB">
            <w:pPr>
              <w:spacing w:after="0" w:line="300" w:lineRule="auto"/>
              <w:jc w:val="left"/>
              <w:rPr>
                <w:b w:val="0"/>
                <w:color w:val="000000"/>
              </w:rPr>
            </w:pPr>
            <w:r>
              <w:rPr>
                <w:rFonts w:ascii="华文楷体" w:hAnsi="华文楷体" w:eastAsia="华文楷体"/>
                <w:b w:val="0"/>
                <w:color w:val="000000"/>
                <w:sz w:val="21"/>
              </w:rPr>
              <w:t>evaluateCompleteAssessment 统一计分入口、前后端共享数据契约</w:t>
            </w:r>
          </w:p>
        </w:tc>
      </w:tr>
      <w:tr w14:paraId="79953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1B4B846">
            <w:pPr>
              <w:spacing w:after="0" w:line="300" w:lineRule="auto"/>
              <w:jc w:val="left"/>
              <w:rPr>
                <w:b w:val="0"/>
                <w:color w:val="000000"/>
              </w:rPr>
            </w:pPr>
            <w:r>
              <w:rPr>
                <w:rFonts w:ascii="华文楷体" w:hAnsi="华文楷体" w:eastAsia="华文楷体"/>
                <w:b w:val="0"/>
                <w:color w:val="000000"/>
                <w:sz w:val="21"/>
              </w:rPr>
              <w:t>贯穿全程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4F40D85">
            <w:pPr>
              <w:spacing w:after="0" w:line="300" w:lineRule="auto"/>
              <w:jc w:val="left"/>
              <w:rPr>
                <w:b w:val="0"/>
                <w:color w:val="000000"/>
              </w:rPr>
            </w:pPr>
            <w:r>
              <w:rPr>
                <w:rFonts w:ascii="华文楷体" w:hAnsi="华文楷体" w:eastAsia="华文楷体"/>
                <w:b w:val="0"/>
                <w:color w:val="000000"/>
                <w:sz w:val="21"/>
              </w:rPr>
              <w:t>三端角色（医生 / 量表员 / 管理）</w:t>
            </w:r>
          </w:p>
        </w:tc>
        <w:tc>
          <w:tcPr>
            <w:tcW w:w="43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7B9F529">
            <w:pPr>
              <w:spacing w:after="0" w:line="300" w:lineRule="auto"/>
              <w:jc w:val="left"/>
              <w:rPr>
                <w:b w:val="0"/>
                <w:color w:val="000000"/>
              </w:rPr>
            </w:pPr>
            <w:r>
              <w:rPr>
                <w:rFonts w:ascii="华文楷体" w:hAnsi="华文楷体" w:eastAsia="华文楷体"/>
                <w:b w:val="0"/>
                <w:color w:val="000000"/>
                <w:sz w:val="21"/>
              </w:rPr>
              <w:t>三端解耦的角色权限与流程</w:t>
            </w:r>
          </w:p>
        </w:tc>
      </w:tr>
      <w:tr w14:paraId="0493E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E83D18E">
            <w:pPr>
              <w:spacing w:after="0" w:line="300" w:lineRule="auto"/>
              <w:jc w:val="left"/>
              <w:rPr>
                <w:b w:val="0"/>
                <w:color w:val="000000"/>
              </w:rPr>
            </w:pPr>
            <w:r>
              <w:rPr>
                <w:rFonts w:ascii="华文楷体" w:hAnsi="华文楷体" w:eastAsia="华文楷体"/>
                <w:b w:val="0"/>
                <w:color w:val="000000"/>
                <w:sz w:val="21"/>
              </w:rPr>
              <w:t>贯穿全程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C3560D7">
            <w:pPr>
              <w:spacing w:after="0" w:line="300" w:lineRule="auto"/>
              <w:jc w:val="left"/>
              <w:rPr>
                <w:b w:val="0"/>
                <w:color w:val="000000"/>
              </w:rPr>
            </w:pPr>
            <w:r>
              <w:rPr>
                <w:rFonts w:ascii="华文楷体" w:hAnsi="华文楷体" w:eastAsia="华文楷体"/>
                <w:b w:val="0"/>
                <w:color w:val="000000"/>
                <w:sz w:val="21"/>
              </w:rPr>
              <w:t>队列与种子数据</w:t>
            </w:r>
          </w:p>
        </w:tc>
        <w:tc>
          <w:tcPr>
            <w:tcW w:w="43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59F4CD1">
            <w:pPr>
              <w:spacing w:after="0" w:line="300" w:lineRule="auto"/>
              <w:jc w:val="left"/>
              <w:rPr>
                <w:b w:val="0"/>
                <w:color w:val="000000"/>
              </w:rPr>
            </w:pPr>
            <w:r>
              <w:rPr>
                <w:rFonts w:ascii="华文楷体" w:hAnsi="华文楷体" w:eastAsia="华文楷体"/>
                <w:b w:val="0"/>
                <w:color w:val="000000"/>
                <w:sz w:val="21"/>
              </w:rPr>
              <w:t>4 位标准受试者自动播种与分层队列</w:t>
            </w:r>
          </w:p>
        </w:tc>
      </w:tr>
      <w:tr w14:paraId="40505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top"/>
          </w:tcPr>
          <w:p w14:paraId="1BA5F5F2">
            <w:pPr>
              <w:spacing w:after="0" w:line="300" w:lineRule="auto"/>
              <w:jc w:val="left"/>
              <w:rPr>
                <w:b w:val="0"/>
                <w:color w:val="000000"/>
              </w:rPr>
            </w:pPr>
            <w:r>
              <w:rPr>
                <w:rFonts w:ascii="华文楷体" w:hAnsi="华文楷体" w:eastAsia="华文楷体"/>
                <w:b w:val="0"/>
                <w:color w:val="000000"/>
                <w:sz w:val="21"/>
              </w:rPr>
              <w:t>贯穿全程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top"/>
          </w:tcPr>
          <w:p w14:paraId="48D7957D">
            <w:pPr>
              <w:spacing w:after="0" w:line="300" w:lineRule="auto"/>
              <w:jc w:val="left"/>
              <w:rPr>
                <w:b w:val="0"/>
                <w:color w:val="000000"/>
              </w:rPr>
            </w:pPr>
            <w:r>
              <w:rPr>
                <w:rFonts w:ascii="华文楷体" w:hAnsi="华文楷体" w:eastAsia="华文楷体"/>
                <w:b w:val="0"/>
                <w:color w:val="000000"/>
                <w:sz w:val="21"/>
              </w:rPr>
              <w:t>质量闸门</w:t>
            </w:r>
          </w:p>
        </w:tc>
        <w:tc>
          <w:tcPr>
            <w:tcW w:w="430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top"/>
          </w:tcPr>
          <w:p w14:paraId="0F223D8C">
            <w:pPr>
              <w:spacing w:after="0" w:line="300" w:lineRule="auto"/>
              <w:jc w:val="left"/>
              <w:rPr>
                <w:b w:val="0"/>
                <w:color w:val="000000"/>
              </w:rPr>
            </w:pPr>
            <w:r>
              <w:rPr>
                <w:rFonts w:ascii="华文楷体" w:hAnsi="华文楷体" w:eastAsia="华文楷体"/>
                <w:b w:val="0"/>
                <w:color w:val="000000"/>
                <w:sz w:val="21"/>
              </w:rPr>
              <w:t>tsc 0 错误 + 构建作为交付验收标准</w:t>
            </w:r>
          </w:p>
        </w:tc>
      </w:tr>
    </w:tbl>
    <w:p w14:paraId="7F9903CE">
      <w:pPr>
        <w:spacing w:before="240" w:after="120"/>
        <w:jc w:val="center"/>
      </w:pPr>
      <w:r>
        <w:rPr>
          <w:rFonts w:ascii="华文楷体" w:hAnsi="华文楷体" w:eastAsia="华文楷体"/>
          <w:b/>
          <w:sz w:val="28"/>
        </w:rPr>
        <w:t>八、经验与不足</w:t>
      </w:r>
    </w:p>
    <w:p w14:paraId="734CF6FC">
      <w:pPr>
        <w:spacing w:line="360" w:lineRule="auto"/>
        <w:ind w:firstLine="420"/>
      </w:pPr>
      <w:r>
        <w:rPr>
          <w:rFonts w:ascii="华文楷体" w:hAnsi="华文楷体" w:eastAsia="华文楷体"/>
          <w:sz w:val="21"/>
        </w:rPr>
        <w:t>经验：</w:t>
      </w:r>
    </w:p>
    <w:p w14:paraId="0FCCC40B">
      <w:pPr>
        <w:spacing w:line="360" w:lineRule="auto"/>
        <w:ind w:firstLine="420"/>
      </w:pPr>
      <w:r>
        <w:rPr>
          <w:rFonts w:ascii="华文楷体" w:hAnsi="华文楷体" w:eastAsia="华文楷体"/>
          <w:sz w:val="21"/>
        </w:rPr>
        <w:t>1. 契约先行显著降低集成成本；</w:t>
      </w:r>
    </w:p>
    <w:p w14:paraId="0745C872">
      <w:pPr>
        <w:spacing w:line="360" w:lineRule="auto"/>
        <w:ind w:firstLine="420"/>
      </w:pPr>
      <w:r>
        <w:rPr>
          <w:rFonts w:ascii="华文楷体" w:hAnsi="华文楷体" w:eastAsia="华文楷体"/>
          <w:sz w:val="21"/>
        </w:rPr>
        <w:t>2. 每周例会及时暴露并解决口径偏差；</w:t>
      </w:r>
    </w:p>
    <w:p w14:paraId="5EA2C27D">
      <w:pPr>
        <w:spacing w:line="360" w:lineRule="auto"/>
        <w:ind w:firstLine="420"/>
      </w:pPr>
      <w:r>
        <w:rPr>
          <w:rFonts w:ascii="华文楷体" w:hAnsi="华文楷体" w:eastAsia="华文楷体"/>
          <w:sz w:val="21"/>
        </w:rPr>
        <w:t>3. Mock 解耦让前端不阻塞于后端进度。</w:t>
      </w:r>
    </w:p>
    <w:p w14:paraId="6E34A865">
      <w:pPr>
        <w:spacing w:line="360" w:lineRule="auto"/>
        <w:ind w:firstLine="420"/>
      </w:pPr>
      <w:r>
        <w:rPr>
          <w:rFonts w:ascii="华文楷体" w:hAnsi="华文楷体" w:eastAsia="华文楷体"/>
          <w:sz w:val="21"/>
        </w:rPr>
        <w:t>不足：</w:t>
      </w:r>
    </w:p>
    <w:p w14:paraId="0BB4B7E7">
      <w:pPr>
        <w:spacing w:line="360" w:lineRule="auto"/>
        <w:ind w:firstLine="420"/>
      </w:pPr>
      <w:r>
        <w:rPr>
          <w:rFonts w:ascii="华文楷体" w:hAnsi="华文楷体" w:eastAsia="华文楷体"/>
          <w:sz w:val="21"/>
        </w:rPr>
        <w:t>1. 早期未充分论证技术栈统一（Vue3 原型 vs React 交付），造成一定重复劳动；</w:t>
      </w:r>
    </w:p>
    <w:p w14:paraId="0E6A470A">
      <w:pPr>
        <w:spacing w:line="360" w:lineRule="auto"/>
        <w:ind w:firstLine="420"/>
      </w:pPr>
      <w:r>
        <w:rPr>
          <w:rFonts w:ascii="华文楷体" w:hAnsi="华文楷体" w:eastAsia="华文楷体"/>
          <w:sz w:val="21"/>
        </w:rPr>
        <w:t>2. 缺乏持续集成（CI），质量闸门依赖人工执行；</w:t>
      </w:r>
    </w:p>
    <w:p w14:paraId="66508141">
      <w:pPr>
        <w:spacing w:line="360" w:lineRule="auto"/>
        <w:ind w:firstLine="420"/>
      </w:pPr>
      <w:r>
        <w:rPr>
          <w:rFonts w:ascii="华文楷体" w:hAnsi="华文楷体" w:eastAsia="华文楷体"/>
          <w:sz w:val="21"/>
        </w:rPr>
        <w:t>3. AI 生成代码质量不均，需人工审查与修正。</w:t>
      </w:r>
      <w:bookmarkStart w:id="0" w:name="_GoBack"/>
      <w:bookmarkEnd w:id="0"/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IzNmQ3N2Y3NzNkODNiYWM1YzBiZTQyMDU5M2U4ZmU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1C3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1950</Words>
  <Characters>2112</Characters>
  <Lines>0</Lines>
  <Paragraphs>0</Paragraphs>
  <TotalTime>1</TotalTime>
  <ScaleCrop>false</ScaleCrop>
  <LinksUpToDate>false</LinksUpToDate>
  <CharactersWithSpaces>2253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沐衡</cp:lastModifiedBy>
  <dcterms:modified xsi:type="dcterms:W3CDTF">2026-09-18T14:52:39Z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4A5C7FD8160D48F3A2AC2D4139AFACD6_12</vt:lpwstr>
  </property>
</Properties>
</file>