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 de services d'hébergement</w:t>
      </w:r>
    </w:p>
    <w:p>
      <w:pPr>
        <w:jc w:val="center"/>
      </w:pPr>
      <w:r>
        <w:rPr>
          <w:i/>
        </w:rPr>
        <w:t>Référence NO-HEB-2025-117 - Hébergement de l'API comptoir</w:t>
      </w:r>
    </w:p>
    <w:p>
      <w:pPr>
        <w:jc w:val="both"/>
      </w:pPr>
      <w:r>
        <w:rPr>
          <w:b w:val="0"/>
        </w:rPr>
      </w:r>
      <w:r>
        <w:rPr>
          <w:b/>
        </w:rPr>
        <w:t>Entre</w:t>
      </w:r>
      <w:r>
        <w:rPr>
          <w:b w:val="0"/>
        </w:rPr>
        <w:t xml:space="preserve"> Nuage Ouest SAS, société par actions simplifiée dont le siège est situé 5 quai des Chantiers, 44000 Nantes, représentée par Yann Le Guen, directeur général, ci-après « l'Hébergeur »,</w:t>
      </w:r>
    </w:p>
    <w:p>
      <w:pPr>
        <w:jc w:val="both"/>
      </w:pPr>
      <w:r>
        <w:rPr>
          <w:b w:val="0"/>
        </w:rPr>
      </w:r>
      <w:r>
        <w:rPr>
          <w:b/>
        </w:rPr>
        <w:t>Et</w:t>
      </w:r>
      <w:r>
        <w:rPr>
          <w:b w:val="0"/>
        </w:rPr>
        <w:t xml:space="preserve"> Comptoir SAS, société par actions simplifiée au capital de 80 000 euros, dont le siège est situé 14 rue des Tanneurs, 45000 Orléans, représentée par Claire Morvan, présidente, ci-après « le Client ».</w:t>
      </w:r>
    </w:p>
    <w:p>
      <w:pPr>
        <w:pStyle w:val="Heading1"/>
      </w:pPr>
      <w:r>
        <w:t>1. Objet</w:t>
      </w:r>
    </w:p>
    <w:p>
      <w:pPr>
        <w:jc w:val="both"/>
      </w:pPr>
      <w:r>
        <w:rPr>
          <w:b w:val="0"/>
        </w:rPr>
        <w:t>Le présent contrat définit les conditions dans lesquelles l'Hébergeur met à la disposition du Client une infrastructure d'hébergement infogérée destinée à l'exploitation de l'application comptoir, et en particulier de son interface de programmation (« l'API comptoir ») et de sa base de données.</w:t>
      </w:r>
    </w:p>
    <w:p>
      <w:pPr>
        <w:pStyle w:val="Heading1"/>
      </w:pPr>
      <w:r>
        <w:t>2. Définitions</w:t>
      </w:r>
    </w:p>
    <w:p>
      <w:pPr>
        <w:pStyle w:val="ListBullet"/>
      </w:pPr>
      <w:r>
        <w:t>Service : l'ensemble des prestations d'hébergement, de supervision, de sauvegarde et de support décrites au présent contrat.</w:t>
      </w:r>
    </w:p>
    <w:p>
      <w:pPr>
        <w:pStyle w:val="ListBullet"/>
      </w:pPr>
      <w:r>
        <w:t>Indisponibilité : période pendant laquelle l'API comptoir ne répond pas aux sondes de supervision de l'Hébergeur, hors maintenance planifiée.</w:t>
      </w:r>
    </w:p>
    <w:p>
      <w:pPr>
        <w:pStyle w:val="ListBullet"/>
      </w:pPr>
      <w:r>
        <w:t>Heures ouvrées : du lundi au vendredi, de 8 h à 19 h, hors jours fériés en France métropolitaine.</w:t>
      </w:r>
    </w:p>
    <w:p>
      <w:pPr>
        <w:pStyle w:val="ListBullet"/>
      </w:pPr>
      <w:r>
        <w:t>Incident P1 : interruption totale du Service ou de l'API comptoir en production. Incident P2 : dégradation significative. Incident P3 : anomalie sans impact sur la production.</w:t>
      </w:r>
    </w:p>
    <w:p>
      <w:r>
        <w:br w:type="page"/>
      </w:r>
    </w:p>
    <w:p>
      <w:pPr>
        <w:pStyle w:val="Heading1"/>
      </w:pPr>
      <w:r>
        <w:t>3. Description du Service</w:t>
      </w:r>
    </w:p>
    <w:p>
      <w:pPr>
        <w:pStyle w:val="Heading2"/>
      </w:pPr>
      <w:r>
        <w:t>3.1 Environnements</w:t>
      </w:r>
    </w:p>
    <w:p>
      <w:pPr>
        <w:jc w:val="both"/>
      </w:pPr>
      <w:r>
        <w:rPr>
          <w:b w:val="0"/>
        </w:rPr>
        <w:t>L'Hébergeur fournit deux environnements distincts : un environnement de production et un environnement de préproduction. Chaque environnement comprend des serveurs applicatifs PHP, une base de données PostgreSQL managée, un stockage objet et un répartiteur de charge.</w:t>
      </w:r>
    </w:p>
    <w:p>
      <w:pPr>
        <w:pStyle w:val="Heading2"/>
      </w:pPr>
      <w:r>
        <w:t>3.2 Localisation des données</w:t>
      </w:r>
    </w:p>
    <w:p>
      <w:pPr>
        <w:jc w:val="both"/>
      </w:pPr>
      <w:r>
        <w:rPr>
          <w:b w:val="0"/>
        </w:rPr>
      </w:r>
      <w:r>
        <w:rPr>
          <w:b/>
        </w:rPr>
        <w:t>Les données du Client sont hébergées exclusivement en France</w:t>
      </w:r>
      <w:r>
        <w:rPr>
          <w:b w:val="0"/>
        </w:rPr>
        <w:t>, dans les deux centres de données de l'Hébergeur situés dans les régions de Nantes et de Rennes. Aucun transfert de données hors de France n'est réalisé sans l'accord préalable et écrit du Client.</w:t>
      </w:r>
    </w:p>
    <w:p>
      <w:pPr>
        <w:pStyle w:val="Heading2"/>
      </w:pPr>
      <w:r>
        <w:t>3.3 Supervision</w:t>
      </w:r>
    </w:p>
    <w:p>
      <w:pPr>
        <w:jc w:val="both"/>
      </w:pPr>
      <w:r>
        <w:rPr>
          <w:b w:val="0"/>
        </w:rPr>
        <w:t>L'Hébergeur supervise en permanence la disponibilité de l'API comptoir au moyen de sondes interrogeant toutes les minutes un point de contrôle fourni par le Client. Les mesures sont consultables dans l'espace client.</w:t>
      </w:r>
    </w:p>
    <w:p>
      <w:pPr>
        <w:pStyle w:val="Heading2"/>
      </w:pPr>
      <w:r>
        <w:t>3.4 Support</w:t>
      </w:r>
    </w:p>
    <w:p>
      <w:pPr>
        <w:jc w:val="both"/>
      </w:pPr>
      <w:r>
        <w:rPr>
          <w:b w:val="0"/>
        </w:rPr>
        <w:t>Le support est joignable via l'espace client et par téléphone pendant les heures ouvrées. Les incidents P1 peuvent être déclarés à toute heure via la ligne d'urgence communiquée dans l'espace client.</w:t>
      </w:r>
    </w:p>
    <w:p>
      <w:r>
        <w:br w:type="page"/>
      </w:r>
    </w:p>
    <w:p>
      <w:pPr>
        <w:pStyle w:val="Heading1"/>
      </w:pPr>
      <w:r>
        <w:t>4. Niveaux de service</w:t>
      </w:r>
    </w:p>
    <w:p>
      <w:pPr>
        <w:pStyle w:val="Heading2"/>
      </w:pPr>
      <w:r>
        <w:t>4.1 Disponibilité</w:t>
      </w:r>
    </w:p>
    <w:p>
      <w:pPr>
        <w:jc w:val="both"/>
      </w:pPr>
      <w:r>
        <w:rPr>
          <w:b w:val="0"/>
        </w:rPr>
        <w:t xml:space="preserve">L'Hébergeur garantit une </w:t>
      </w:r>
      <w:r>
        <w:rPr>
          <w:b/>
        </w:rPr>
        <w:t>disponibilité de l'API comptoir de 99,5 % par mois</w:t>
      </w:r>
      <w:r>
        <w:rPr>
          <w:b w:val="0"/>
        </w:rPr>
        <w:t xml:space="preserve"> calendaire, mesurée par ses sondes de supervision, hors périodes de maintenance planifiée notifiées conformément à l'article 4.2.</w:t>
      </w:r>
    </w:p>
    <w:p>
      <w:pPr>
        <w:pStyle w:val="Heading2"/>
      </w:pPr>
      <w:r>
        <w:t>4.2 Maintenance planifiée</w:t>
      </w:r>
    </w:p>
    <w:p>
      <w:pPr>
        <w:jc w:val="both"/>
      </w:pPr>
      <w:r>
        <w:rPr>
          <w:b w:val="0"/>
        </w:rPr>
        <w:t>Les opérations de maintenance planifiée sont notifiées au Client au moins cinq (5) jours ouvrés à l'avance et réalisées de préférence entre 22 h et 6 h. Leur durée cumulée n'excède pas quatre heures par mois.</w:t>
      </w:r>
    </w:p>
    <w:p>
      <w:pPr>
        <w:pStyle w:val="Heading2"/>
      </w:pPr>
      <w:r>
        <w:t>4.3 Délais d'intervention</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Priorité</w:t>
            </w:r>
          </w:p>
        </w:tc>
        <w:tc>
          <w:tcPr>
            <w:tcW w:type="dxa" w:w="3137"/>
          </w:tcPr>
          <w:p>
            <w:r>
              <w:rPr>
                <w:b/>
              </w:rPr>
              <w:t>Délai d'intervention</w:t>
            </w:r>
          </w:p>
        </w:tc>
        <w:tc>
          <w:tcPr>
            <w:tcW w:type="dxa" w:w="3137"/>
          </w:tcPr>
          <w:p>
            <w:r>
              <w:rPr>
                <w:b/>
              </w:rPr>
              <w:t>Canal</w:t>
            </w:r>
          </w:p>
        </w:tc>
      </w:tr>
      <w:tr>
        <w:tc>
          <w:tcPr>
            <w:tcW w:type="dxa" w:w="3137"/>
          </w:tcPr>
          <w:p>
            <w:r>
              <w:t>P1</w:t>
            </w:r>
          </w:p>
        </w:tc>
        <w:tc>
          <w:tcPr>
            <w:tcW w:type="dxa" w:w="3137"/>
          </w:tcPr>
          <w:p>
            <w:r>
              <w:t>4 heures ouvrées</w:t>
            </w:r>
          </w:p>
        </w:tc>
        <w:tc>
          <w:tcPr>
            <w:tcW w:type="dxa" w:w="3137"/>
          </w:tcPr>
          <w:p>
            <w:r>
              <w:t>Ligne d'urgence et espace client</w:t>
            </w:r>
          </w:p>
        </w:tc>
      </w:tr>
      <w:tr>
        <w:tc>
          <w:tcPr>
            <w:tcW w:type="dxa" w:w="3137"/>
          </w:tcPr>
          <w:p>
            <w:r>
              <w:t>P2</w:t>
            </w:r>
          </w:p>
        </w:tc>
        <w:tc>
          <w:tcPr>
            <w:tcW w:type="dxa" w:w="3137"/>
          </w:tcPr>
          <w:p>
            <w:r>
              <w:t>8 heures ouvrées</w:t>
            </w:r>
          </w:p>
        </w:tc>
        <w:tc>
          <w:tcPr>
            <w:tcW w:type="dxa" w:w="3137"/>
          </w:tcPr>
          <w:p>
            <w:r>
              <w:t>Espace client</w:t>
            </w:r>
          </w:p>
        </w:tc>
      </w:tr>
      <w:tr>
        <w:tc>
          <w:tcPr>
            <w:tcW w:type="dxa" w:w="3137"/>
          </w:tcPr>
          <w:p>
            <w:r>
              <w:t>P3</w:t>
            </w:r>
          </w:p>
        </w:tc>
        <w:tc>
          <w:tcPr>
            <w:tcW w:type="dxa" w:w="3137"/>
          </w:tcPr>
          <w:p>
            <w:r>
              <w:t>3 jours ouvrés</w:t>
            </w:r>
          </w:p>
        </w:tc>
        <w:tc>
          <w:tcPr>
            <w:tcW w:type="dxa" w:w="3137"/>
          </w:tcPr>
          <w:p>
            <w:r>
              <w:t>Espace client</w:t>
            </w:r>
          </w:p>
        </w:tc>
      </w:tr>
    </w:tbl>
    <w:p>
      <w:pPr>
        <w:jc w:val="both"/>
      </w:pPr>
      <w:r>
        <w:rPr>
          <w:b w:val="0"/>
        </w:rPr>
        <w:t>En cas d'</w:t>
      </w:r>
      <w:r>
        <w:rPr>
          <w:b/>
        </w:rPr>
        <w:t>incident P1, l'Hébergeur intervient sous 4 heures ouvrées</w:t>
      </w:r>
      <w:r>
        <w:rPr>
          <w:b w:val="0"/>
        </w:rPr>
        <w:t xml:space="preserve"> à compter de sa déclaration ou de sa détection. Le délai d'intervention désigne le délai de prise en charge par un ingénieur de l'Hébergeur, et non le délai de rétablissement.</w:t>
      </w:r>
    </w:p>
    <w:p>
      <w:pPr>
        <w:pStyle w:val="Heading2"/>
      </w:pPr>
      <w:r>
        <w:t>4.4 Crédits de service</w:t>
      </w:r>
    </w:p>
    <w:p>
      <w:pPr>
        <w:jc w:val="both"/>
      </w:pPr>
      <w:r>
        <w:rPr>
          <w:b w:val="0"/>
        </w:rPr>
        <w:t>Si la disponibilité mensuelle est inférieure à l'engagement de l'article 4.1, le Client bénéficie d'un crédit égal à 5 % du forfait mensuel par tranche de 0,5 point manquant, dans la limite de 30 % du forfait mensuel.</w:t>
      </w:r>
    </w:p>
    <w:p>
      <w:r>
        <w:br w:type="page"/>
      </w:r>
    </w:p>
    <w:p>
      <w:pPr>
        <w:pStyle w:val="Heading1"/>
      </w:pPr>
      <w:r>
        <w:t>5. Sauvegardes</w:t>
      </w:r>
    </w:p>
    <w:p>
      <w:pPr>
        <w:pStyle w:val="Heading2"/>
      </w:pPr>
      <w:r>
        <w:t>5.1 Périmètre</w:t>
      </w:r>
    </w:p>
    <w:p>
      <w:pPr>
        <w:jc w:val="both"/>
      </w:pPr>
      <w:r>
        <w:rPr>
          <w:b w:val="0"/>
        </w:rPr>
        <w:t>Les sauvegardes portent sur la base de données de production, le stockage objet et la configuration des serveurs applicatifs.</w:t>
      </w:r>
    </w:p>
    <w:p>
      <w:pPr>
        <w:pStyle w:val="Heading2"/>
      </w:pPr>
      <w:r>
        <w:t>5.2 Fréquence et rétention</w:t>
      </w:r>
    </w:p>
    <w:p>
      <w:pPr>
        <w:jc w:val="both"/>
      </w:pPr>
      <w:r>
        <w:rPr>
          <w:b w:val="0"/>
        </w:rPr>
        <w:t xml:space="preserve">L'Hébergeur réalise une </w:t>
      </w:r>
      <w:r>
        <w:rPr>
          <w:b/>
        </w:rPr>
        <w:t>sauvegarde quotidienne</w:t>
      </w:r>
      <w:r>
        <w:rPr>
          <w:b w:val="0"/>
        </w:rPr>
        <w:t xml:space="preserve"> complète, entre 1 h et 3 h, avec une </w:t>
      </w:r>
      <w:r>
        <w:rPr>
          <w:b/>
        </w:rPr>
        <w:t>rétention de 30 jours</w:t>
      </w:r>
      <w:r>
        <w:rPr>
          <w:b w:val="0"/>
        </w:rPr>
        <w:t>. Les sauvegardes sont chiffrées et stockées dans un centre de données distinct de celui de production, en France.</w:t>
      </w:r>
    </w:p>
    <w:p>
      <w:pPr>
        <w:pStyle w:val="Heading2"/>
      </w:pPr>
      <w:r>
        <w:t>5.3 Restauration</w:t>
      </w:r>
    </w:p>
    <w:p>
      <w:pPr>
        <w:jc w:val="both"/>
      </w:pPr>
      <w:r>
        <w:rPr>
          <w:b w:val="0"/>
        </w:rPr>
        <w:t>Le Client peut demander la restauration d'une sauvegarde via l'espace client. Un test de restauration complet est réalisé chaque trimestre par l'Hébergeur et son compte rendu transmis au Client.</w:t>
      </w:r>
    </w:p>
    <w:p>
      <w:pPr>
        <w:pStyle w:val="Heading1"/>
      </w:pPr>
      <w:r>
        <w:t>6. Sécurité</w:t>
      </w:r>
    </w:p>
    <w:p>
      <w:pPr>
        <w:jc w:val="both"/>
      </w:pPr>
      <w:r>
        <w:rPr>
          <w:b w:val="0"/>
        </w:rPr>
        <w:t>L'Hébergeur met en œuvre les mesures techniques et organisationnelles décrites dans son plan d'assurance sécurité : contrôle d'accès nominatif, journalisation des accès administrateurs, application des correctifs de sécurité, chiffrement des flux. Il notifie au Client toute violation de données le concernant dans les meilleurs délais après en avoir pris connaissance.</w:t>
      </w:r>
    </w:p>
    <w:p>
      <w:r>
        <w:br w:type="page"/>
      </w:r>
    </w:p>
    <w:p>
      <w:pPr>
        <w:pStyle w:val="Heading1"/>
      </w:pPr>
      <w:r>
        <w:t>7. Prix et facturation</w:t>
      </w:r>
    </w:p>
    <w:p>
      <w:pPr>
        <w:jc w:val="both"/>
      </w:pPr>
      <w:r>
        <w:rPr>
          <w:b w:val="0"/>
        </w:rPr>
        <w:t>Le Service est facturé selon un forfait mensuel de 1 450 euros HT, payable à trente jours date de facture. Les ressources supplémentaires commandées par le Client sont facturées selon la grille tarifaire en vigueur de l'Hébergeur.</w:t>
      </w:r>
    </w:p>
    <w:p>
      <w:pPr>
        <w:pStyle w:val="Heading1"/>
      </w:pPr>
      <w:r>
        <w:t>8. Responsabilité</w:t>
      </w:r>
    </w:p>
    <w:p>
      <w:pPr>
        <w:jc w:val="both"/>
      </w:pPr>
      <w:r>
        <w:rPr>
          <w:b w:val="0"/>
        </w:rPr>
        <w:t>L'Hébergeur est tenu d'une obligation de moyens, à l'exception des engagements de niveaux de service de l'article 4. Sa responsabilité totale est limitée au montant des sommes versées par le Client au titre des douze derniers mois. Les crédits de service constituent la seule compensation due au titre du non-respect de l'engagement de disponibilité.</w:t>
      </w:r>
    </w:p>
    <w:p>
      <w:pPr>
        <w:jc w:val="both"/>
      </w:pPr>
      <w:r>
        <w:rPr>
          <w:b w:val="0"/>
        </w:rPr>
        <w:t>Le Client demeure responsable du contenu hébergé, du code de l'application comptoir et de la gestion des accès de ses utilisateurs.</w:t>
      </w:r>
    </w:p>
    <w:p>
      <w:r>
        <w:br w:type="page"/>
      </w:r>
    </w:p>
    <w:p>
      <w:pPr>
        <w:pStyle w:val="Heading1"/>
      </w:pPr>
      <w:r>
        <w:t>9. Durée et résiliation</w:t>
      </w:r>
    </w:p>
    <w:p>
      <w:pPr>
        <w:jc w:val="both"/>
      </w:pPr>
      <w:r>
        <w:rPr>
          <w:b w:val="0"/>
        </w:rPr>
        <w:t xml:space="preserve">Le contrat prend effet le 01/10/2025 pour une durée initiale de douze (12) mois, puis se renouvelle tacitement par périodes de douze mois. Chaque partie peut le résilier à l'issue de chaque période moyennant un </w:t>
      </w:r>
      <w:r>
        <w:rPr>
          <w:b/>
        </w:rPr>
        <w:t>préavis de deux (2) mois</w:t>
      </w:r>
      <w:r>
        <w:rPr>
          <w:b w:val="0"/>
        </w:rPr>
        <w:t xml:space="preserve"> notifié par lettre recommandée avec accusé de réception.</w:t>
      </w:r>
    </w:p>
    <w:p>
      <w:pPr>
        <w:pStyle w:val="Heading1"/>
      </w:pPr>
      <w:r>
        <w:t>10. Réversibilité</w:t>
      </w:r>
    </w:p>
    <w:p>
      <w:pPr>
        <w:jc w:val="both"/>
      </w:pPr>
      <w:r>
        <w:rPr>
          <w:b w:val="0"/>
        </w:rPr>
        <w:t>En fin de contrat, l'Hébergeur remet au Client une copie complète de ses données dans un format standard, puis procède à leur effacement sécurisé dans un délai de trente jours et en fournit l'attestation.</w:t>
      </w:r>
    </w:p>
    <w:p>
      <w:pPr>
        <w:jc w:val="both"/>
      </w:pPr>
      <w:r>
        <w:rPr>
          <w:b w:val="0"/>
        </w:rPr>
        <w:t>Fait à Nantes, le 22/09/2025, en deux exemplaires.</w:t>
      </w:r>
    </w:p>
    <w:tbl>
      <w:tblPr>
        <w:tblStyle w:val="TableGrid"/>
        <w:tblW w:type="auto" w:w="0"/>
        <w:tblLook w:firstColumn="1" w:firstRow="1" w:lastColumn="0" w:lastRow="0" w:noHBand="0" w:noVBand="1" w:val="04A0"/>
      </w:tblPr>
      <w:tblGrid>
        <w:gridCol w:w="4706"/>
        <w:gridCol w:w="4706"/>
      </w:tblGrid>
      <w:tr>
        <w:tc>
          <w:tcPr>
            <w:tcW w:type="dxa" w:w="4706"/>
          </w:tcPr>
          <w:p>
            <w:r>
              <w:rPr>
                <w:b/>
              </w:rPr>
              <w:t>Pour Nuage Ouest SAS</w:t>
            </w:r>
          </w:p>
        </w:tc>
        <w:tc>
          <w:tcPr>
            <w:tcW w:type="dxa" w:w="4706"/>
          </w:tcPr>
          <w:p>
            <w:r>
              <w:rPr>
                <w:b/>
              </w:rPr>
              <w:t>Pour Comptoir SAS</w:t>
            </w:r>
          </w:p>
        </w:tc>
      </w:tr>
      <w:tr>
        <w:tc>
          <w:tcPr>
            <w:tcW w:type="dxa" w:w="4706"/>
          </w:tcPr>
          <w:p>
            <w:r>
              <w:t>Yann Le Guen, directeur général</w:t>
            </w:r>
          </w:p>
        </w:tc>
        <w:tc>
          <w:tcPr>
            <w:tcW w:type="dxa" w:w="4706"/>
          </w:tcPr>
          <w:p>
            <w:r>
              <w:t>Claire Morvan, présidente</w:t>
            </w:r>
          </w:p>
        </w:tc>
      </w:tr>
      <w:tr>
        <w:tc>
          <w:tcPr>
            <w:tcW w:type="dxa" w:w="4706"/>
          </w:tcPr>
          <w:p>
            <w:r>
              <w:t>Signature :</w:t>
            </w:r>
          </w:p>
        </w:tc>
        <w:tc>
          <w:tcPr>
            <w:tcW w:type="dxa" w:w="4706"/>
          </w:tcPr>
          <w:p>
            <w:r>
              <w:t>Signature :</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Contrat NO-HEB-2025-117 - Nuage Ouest / Comptoir SAS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d'hébergement - Nuage Ouest</dc:title>
  <dc:subject/>
  <dc:creator>Comptoir SAS</dc:creator>
  <cp:keywords/>
  <dc:description>generated by python-docx</dc:description>
  <cp:lastModifiedBy>Comptoir SAS</cp:lastModifiedBy>
  <cp:revision>1</cp:revision>
  <dcterms:created xsi:type="dcterms:W3CDTF">2026-07-01T09:00:00Z</dcterms:created>
  <dcterms:modified xsi:type="dcterms:W3CDTF">2026-07-01T09:00:00Z</dcterms:modified>
  <cp:category/>
</cp:coreProperties>
</file>