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Procédure d'astreinte technique</w:t>
      </w:r>
    </w:p>
    <w:p>
      <w:pPr>
        <w:jc w:val="center"/>
      </w:pPr>
      <w:r>
        <w:rPr>
          <w:i/>
        </w:rPr>
        <w:t>Équipe technique Comptoir - version 3 - mise à jour du 02/03/2026</w:t>
      </w:r>
    </w:p>
    <w:p>
      <w:pPr>
        <w:pStyle w:val="Heading1"/>
      </w:pPr>
      <w:r>
        <w:t>1. Objet</w:t>
      </w:r>
    </w:p>
    <w:p>
      <w:pPr>
        <w:jc w:val="both"/>
      </w:pPr>
      <w:r>
        <w:rPr>
          <w:b w:val="0"/>
        </w:rPr>
        <w:t>Cette procédure organise l'astreinte de l'équipe technique afin d'assurer la continuité de service de l'application comptoir (API, portail professionnel et traitements planifiés) en dehors des heures ouvrées.</w:t>
      </w:r>
    </w:p>
    <w:p>
      <w:pPr>
        <w:pStyle w:val="Heading1"/>
      </w:pPr>
      <w:r>
        <w:t>2. Organisation</w:t>
      </w:r>
    </w:p>
    <w:p>
      <w:pPr>
        <w:jc w:val="both"/>
      </w:pPr>
      <w:r>
        <w:rPr>
          <w:b w:val="0"/>
        </w:rPr>
        <w:t xml:space="preserve">L'astreinte fonctionne selon une </w:t>
      </w:r>
      <w:r>
        <w:rPr>
          <w:b/>
        </w:rPr>
        <w:t>rotation hebdomadaire</w:t>
      </w:r>
      <w:r>
        <w:rPr>
          <w:b w:val="0"/>
        </w:rPr>
        <w:t xml:space="preserve"> : chaque période commence le lundi à 9 h et se termine le lundi suivant à 9 h. Le planning est publié dans l'outil de planification de l'équipe au moins un mois à l'avance. Les échanges de semaines sont possibles avec l'accord du responsable technique.</w:t>
      </w:r>
    </w:p>
    <w:p>
      <w:pPr>
        <w:jc w:val="both"/>
      </w:pPr>
      <w:r>
        <w:rPr>
          <w:b w:val="0"/>
        </w:rPr>
        <w:t>La personne d'astreinte dispose du téléphone d'astreinte, d'un ordinateur portable avec accès VPN et des accès à la supervision de l'hébergeur.</w:t>
      </w:r>
    </w:p>
    <w:p>
      <w:pPr>
        <w:pStyle w:val="Heading1"/>
      </w:pPr>
      <w:r>
        <w:t>3. Délais de prise en charge</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rPr>
              <w:t>Priorité</w:t>
            </w:r>
          </w:p>
        </w:tc>
        <w:tc>
          <w:tcPr>
            <w:tcW w:type="dxa" w:w="3137"/>
          </w:tcPr>
          <w:p>
            <w:r>
              <w:rPr>
                <w:b/>
              </w:rPr>
              <w:t>Exemple</w:t>
            </w:r>
          </w:p>
        </w:tc>
        <w:tc>
          <w:tcPr>
            <w:tcW w:type="dxa" w:w="3137"/>
          </w:tcPr>
          <w:p>
            <w:r>
              <w:rPr>
                <w:b/>
              </w:rPr>
              <w:t>Prise en charge</w:t>
            </w:r>
          </w:p>
        </w:tc>
      </w:tr>
      <w:tr>
        <w:tc>
          <w:tcPr>
            <w:tcW w:type="dxa" w:w="3137"/>
          </w:tcPr>
          <w:p>
            <w:r>
              <w:t>P1</w:t>
            </w:r>
          </w:p>
        </w:tc>
        <w:tc>
          <w:tcPr>
            <w:tcW w:type="dxa" w:w="3137"/>
          </w:tcPr>
          <w:p>
            <w:r>
              <w:t>API comptoir indisponible, commandes impossibles</w:t>
            </w:r>
          </w:p>
        </w:tc>
        <w:tc>
          <w:tcPr>
            <w:tcW w:type="dxa" w:w="3137"/>
          </w:tcPr>
          <w:p>
            <w:r>
              <w:t>30 minutes, de jour comme de nuit</w:t>
            </w:r>
          </w:p>
        </w:tc>
      </w:tr>
      <w:tr>
        <w:tc>
          <w:tcPr>
            <w:tcW w:type="dxa" w:w="3137"/>
          </w:tcPr>
          <w:p>
            <w:r>
              <w:t>P2</w:t>
            </w:r>
          </w:p>
        </w:tc>
        <w:tc>
          <w:tcPr>
            <w:tcW w:type="dxa" w:w="3137"/>
          </w:tcPr>
          <w:p>
            <w:r>
              <w:t>Lenteurs importantes, export comptable bloqué</w:t>
            </w:r>
          </w:p>
        </w:tc>
        <w:tc>
          <w:tcPr>
            <w:tcW w:type="dxa" w:w="3137"/>
          </w:tcPr>
          <w:p>
            <w:r>
              <w:t>Jour ouvré suivant</w:t>
            </w:r>
          </w:p>
        </w:tc>
      </w:tr>
      <w:tr>
        <w:tc>
          <w:tcPr>
            <w:tcW w:type="dxa" w:w="3137"/>
          </w:tcPr>
          <w:p>
            <w:r>
              <w:t>P3</w:t>
            </w:r>
          </w:p>
        </w:tc>
        <w:tc>
          <w:tcPr>
            <w:tcW w:type="dxa" w:w="3137"/>
          </w:tcPr>
          <w:p>
            <w:r>
              <w:t>Anomalie mineure</w:t>
            </w:r>
          </w:p>
        </w:tc>
        <w:tc>
          <w:tcPr>
            <w:tcW w:type="dxa" w:w="3137"/>
          </w:tcPr>
          <w:p>
            <w:r>
              <w:t>Traitement planifié</w:t>
            </w:r>
          </w:p>
        </w:tc>
      </w:tr>
    </w:tbl>
    <w:p>
      <w:pPr>
        <w:jc w:val="both"/>
      </w:pPr>
      <w:r>
        <w:rPr>
          <w:b w:val="0"/>
        </w:rPr>
        <w:t xml:space="preserve">Pour un </w:t>
      </w:r>
      <w:r>
        <w:rPr>
          <w:b/>
        </w:rPr>
        <w:t>incident P1, la personne d'astreinte prend en charge l'incident sous 30 minutes</w:t>
      </w:r>
      <w:r>
        <w:rPr>
          <w:b w:val="0"/>
        </w:rPr>
        <w:t xml:space="preserve"> à compter de l'alerte. Ce délai interne ne doit pas être confondu avec le délai d'intervention contractuel de l'hébergeur.</w:t>
      </w:r>
    </w:p>
    <w:p>
      <w:r>
        <w:br w:type="page"/>
      </w:r>
    </w:p>
    <w:p>
      <w:pPr>
        <w:pStyle w:val="Heading1"/>
      </w:pPr>
      <w:r>
        <w:t>4. Déroulé d'un incident P1</w:t>
      </w:r>
    </w:p>
    <w:p>
      <w:pPr>
        <w:pStyle w:val="ListBullet"/>
      </w:pPr>
      <w:r>
        <w:t>Accuser réception de l'alerte dans l'outil de supervision.</w:t>
      </w:r>
    </w:p>
    <w:p>
      <w:pPr>
        <w:pStyle w:val="ListBullet"/>
      </w:pPr>
      <w:r>
        <w:t>Qualifier l'incident et ouvrir un ticket chez l'hébergeur si l'infrastructure est en cause.</w:t>
      </w:r>
    </w:p>
    <w:p>
      <w:pPr>
        <w:pStyle w:val="ListBullet"/>
      </w:pPr>
      <w:r>
        <w:t>Informer le responsable technique et le canal #incidents.</w:t>
      </w:r>
    </w:p>
    <w:p>
      <w:pPr>
        <w:pStyle w:val="ListBullet"/>
      </w:pPr>
      <w:r>
        <w:t>Rétablir le service ; ne déployer aucun changement de code sans validation du responsable technique.</w:t>
      </w:r>
    </w:p>
    <w:p>
      <w:pPr>
        <w:pStyle w:val="ListBullet"/>
      </w:pPr>
      <w:r>
        <w:t>Rédiger un compte rendu dans les deux jours ouvrés.</w:t>
      </w:r>
    </w:p>
    <w:p>
      <w:pPr>
        <w:pStyle w:val="Heading1"/>
      </w:pPr>
      <w:r>
        <w:t>5. Escalade</w:t>
      </w:r>
    </w:p>
    <w:p>
      <w:pPr>
        <w:jc w:val="both"/>
      </w:pPr>
      <w:r>
        <w:rPr>
          <w:b w:val="0"/>
        </w:rPr>
        <w:t>Si l'incident n'est pas maîtrisé dans l'heure, la personne d'astreinte escalade au responsable technique, puis au directeur technique. Un incident de sécurité suit en parallèle la procédure de gestion des incidents de sécurité.</w:t>
      </w:r>
    </w:p>
    <w:p>
      <w:pPr>
        <w:pStyle w:val="Heading1"/>
      </w:pPr>
      <w:r>
        <w:t>6. Passation</w:t>
      </w:r>
    </w:p>
    <w:p>
      <w:pPr>
        <w:jc w:val="both"/>
      </w:pPr>
      <w:r>
        <w:rPr>
          <w:b w:val="0"/>
        </w:rPr>
        <w:t>Le lundi à 9 h, la personne sortante transmet à la personne entrante la liste des incidents de la semaine et les actions en cours, lors d'un point de quinze minutes.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Comptoir SAS - Procédure d'astreinte - 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Procédure d'astreinte technique</dc:title>
  <dc:subject/>
  <dc:creator>Comptoir SAS</dc:creator>
  <cp:keywords/>
  <dc:description>generated by python-docx</dc:description>
  <cp:lastModifiedBy>Comptoir SAS</cp:lastModifiedBy>
  <cp:revision>1</cp:revision>
  <dcterms:created xsi:type="dcterms:W3CDTF">2026-07-01T09:00:00Z</dcterms:created>
  <dcterms:modified xsi:type="dcterms:W3CDTF">2026-07-01T09:00:00Z</dcterms:modified>
  <cp:category/>
</cp:coreProperties>
</file>