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g4ed6j6i5n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JUAN PABLO MEDINA TRINCADO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go6mitm5d3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435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.medinat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g3HU08Fo1KHVYg9EOGVRWhWZQ==">CgMxLjAyDmguZWc0ZWQ2ajZpNW4wMg5oLmZnbzZtaXRtNWQzYTgAciExeGNxWkNIYVFybTNnVlhqd2ZJVlNBa3p1Z1ZLWVFKRlk=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