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7A5" w:rsidRPr="005A47A5" w:rsidRDefault="005A47A5" w:rsidP="005A47A5">
      <w:pPr>
        <w:spacing w:before="100" w:beforeAutospacing="1" w:after="100" w:afterAutospacing="1" w:line="420" w:lineRule="atLeast"/>
        <w:outlineLvl w:val="1"/>
        <w:rPr>
          <w:rFonts w:ascii="Arial" w:eastAsia="Times New Roman" w:hAnsi="Arial" w:cs="Arial"/>
          <w:color w:val="0875BA"/>
          <w:sz w:val="39"/>
          <w:szCs w:val="39"/>
        </w:rPr>
      </w:pPr>
      <w:r w:rsidRPr="005A47A5">
        <w:rPr>
          <w:rFonts w:ascii="Arial" w:eastAsia="Times New Roman" w:hAnsi="Arial" w:cs="Arial"/>
          <w:color w:val="0875BA"/>
          <w:sz w:val="39"/>
          <w:szCs w:val="39"/>
        </w:rPr>
        <w:t>Diversity Supplement – Understanding factors that lead to disparities in depression treatment</w:t>
      </w:r>
    </w:p>
    <w:tbl>
      <w:tblPr>
        <w:tblW w:w="9750" w:type="dxa"/>
        <w:tblCellMar>
          <w:top w:w="75" w:type="dxa"/>
          <w:left w:w="75" w:type="dxa"/>
          <w:bottom w:w="75" w:type="dxa"/>
          <w:right w:w="75" w:type="dxa"/>
        </w:tblCellMar>
        <w:tblLook w:val="04A0" w:firstRow="1" w:lastRow="0" w:firstColumn="1" w:lastColumn="0" w:noHBand="0" w:noVBand="1"/>
      </w:tblPr>
      <w:tblGrid>
        <w:gridCol w:w="9594"/>
        <w:gridCol w:w="156"/>
      </w:tblGrid>
      <w:tr w:rsidR="005A47A5" w:rsidRPr="005A47A5" w:rsidTr="005A47A5">
        <w:tc>
          <w:tcPr>
            <w:tcW w:w="0" w:type="auto"/>
            <w:gridSpan w:val="2"/>
            <w:hideMark/>
          </w:tcPr>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t xml:space="preserve">Project Name: </w:t>
            </w:r>
            <w:r w:rsidRPr="005A47A5">
              <w:rPr>
                <w:rFonts w:ascii="Arial" w:eastAsia="Times New Roman" w:hAnsi="Arial" w:cs="Arial"/>
                <w:color w:val="000000"/>
                <w:sz w:val="18"/>
                <w:szCs w:val="18"/>
              </w:rPr>
              <w:br/>
              <w:t>Diversity Supplement – Understanding factors that lead to disparities in depression treatment</w:t>
            </w:r>
          </w:p>
        </w:tc>
      </w:tr>
      <w:tr w:rsidR="005A47A5" w:rsidRPr="005A47A5" w:rsidTr="005A47A5">
        <w:tc>
          <w:tcPr>
            <w:tcW w:w="0" w:type="auto"/>
            <w:vAlign w:val="center"/>
            <w:hideMark/>
          </w:tcPr>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t>Principal Investigator:</w:t>
            </w:r>
            <w:r w:rsidRPr="005A47A5">
              <w:rPr>
                <w:rFonts w:ascii="Arial" w:eastAsia="Times New Roman" w:hAnsi="Arial" w:cs="Arial"/>
                <w:color w:val="000000"/>
                <w:sz w:val="18"/>
                <w:szCs w:val="18"/>
              </w:rPr>
              <w:t xml:space="preserve"> </w:t>
            </w:r>
            <w:r w:rsidRPr="005A47A5">
              <w:rPr>
                <w:rFonts w:ascii="Arial" w:eastAsia="Times New Roman" w:hAnsi="Arial" w:cs="Arial"/>
                <w:color w:val="000000"/>
                <w:sz w:val="18"/>
                <w:szCs w:val="18"/>
              </w:rPr>
              <w:br/>
              <w:t>Karen J Coleman, PhD</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r w:rsidR="005A47A5" w:rsidRPr="005A47A5" w:rsidTr="005A47A5">
        <w:tc>
          <w:tcPr>
            <w:tcW w:w="0" w:type="auto"/>
            <w:vAlign w:val="center"/>
            <w:hideMark/>
          </w:tcPr>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t>Principal Investigator</w:t>
            </w:r>
            <w:r w:rsidRPr="005A47A5">
              <w:rPr>
                <w:rFonts w:ascii="Arial" w:eastAsia="Times New Roman" w:hAnsi="Arial" w:cs="Arial"/>
                <w:color w:val="000000"/>
                <w:sz w:val="18"/>
                <w:szCs w:val="18"/>
              </w:rPr>
              <w:t xml:space="preserve"> </w:t>
            </w:r>
            <w:r w:rsidRPr="005A47A5">
              <w:rPr>
                <w:rFonts w:ascii="Arial" w:eastAsia="Times New Roman" w:hAnsi="Arial" w:cs="Arial"/>
                <w:b/>
                <w:bCs/>
                <w:color w:val="000000"/>
                <w:sz w:val="18"/>
                <w:szCs w:val="18"/>
              </w:rPr>
              <w:t>Contact Information:</w:t>
            </w:r>
            <w:r w:rsidRPr="005A47A5">
              <w:rPr>
                <w:rFonts w:ascii="Arial" w:eastAsia="Times New Roman" w:hAnsi="Arial" w:cs="Arial"/>
                <w:color w:val="000000"/>
                <w:sz w:val="18"/>
                <w:szCs w:val="18"/>
              </w:rPr>
              <w:br/>
            </w:r>
            <w:hyperlink r:id="rId5" w:history="1">
              <w:r w:rsidRPr="005A47A5">
                <w:rPr>
                  <w:rFonts w:ascii="Arial" w:eastAsia="Times New Roman" w:hAnsi="Arial" w:cs="Arial"/>
                  <w:color w:val="0875BA"/>
                  <w:sz w:val="18"/>
                  <w:szCs w:val="18"/>
                </w:rPr>
                <w:t>Karen.J.Coleman@kp.org</w:t>
              </w:r>
            </w:hyperlink>
            <w:r w:rsidRPr="005A47A5">
              <w:rPr>
                <w:rFonts w:ascii="Arial" w:eastAsia="Times New Roman" w:hAnsi="Arial" w:cs="Arial"/>
                <w:color w:val="000000"/>
                <w:sz w:val="18"/>
                <w:szCs w:val="18"/>
              </w:rPr>
              <w:t xml:space="preserve"> </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r w:rsidR="005A47A5" w:rsidRPr="005A47A5" w:rsidTr="005A47A5">
        <w:tc>
          <w:tcPr>
            <w:tcW w:w="0" w:type="auto"/>
            <w:vAlign w:val="center"/>
            <w:hideMark/>
          </w:tcPr>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t>Principal Investigator institution:</w:t>
            </w:r>
            <w:r w:rsidRPr="005A47A5">
              <w:rPr>
                <w:rFonts w:ascii="Arial" w:eastAsia="Times New Roman" w:hAnsi="Arial" w:cs="Arial"/>
                <w:color w:val="000000"/>
                <w:sz w:val="18"/>
                <w:szCs w:val="18"/>
              </w:rPr>
              <w:t xml:space="preserve"> </w:t>
            </w:r>
            <w:r w:rsidRPr="005A47A5">
              <w:rPr>
                <w:rFonts w:ascii="Arial" w:eastAsia="Times New Roman" w:hAnsi="Arial" w:cs="Arial"/>
                <w:color w:val="000000"/>
                <w:sz w:val="18"/>
                <w:szCs w:val="18"/>
              </w:rPr>
              <w:br/>
              <w:t>Kaiser Permanente Southern California</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r w:rsidR="005A47A5" w:rsidRPr="005A47A5" w:rsidTr="005A47A5">
        <w:tc>
          <w:tcPr>
            <w:tcW w:w="0" w:type="auto"/>
            <w:vAlign w:val="center"/>
            <w:hideMark/>
          </w:tcPr>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t>Funder</w:t>
            </w:r>
            <w:r w:rsidRPr="005A47A5">
              <w:rPr>
                <w:rFonts w:ascii="Arial" w:eastAsia="Times New Roman" w:hAnsi="Arial" w:cs="Arial"/>
                <w:color w:val="000000"/>
                <w:sz w:val="18"/>
                <w:szCs w:val="18"/>
              </w:rPr>
              <w:br/>
              <w:t>NIMH</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r w:rsidR="005A47A5" w:rsidRPr="005A47A5" w:rsidTr="005A47A5">
        <w:tc>
          <w:tcPr>
            <w:tcW w:w="0" w:type="auto"/>
            <w:vAlign w:val="center"/>
            <w:hideMark/>
          </w:tcPr>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t>Funding Period:  </w:t>
            </w:r>
            <w:r w:rsidRPr="005A47A5">
              <w:rPr>
                <w:rFonts w:ascii="Arial" w:eastAsia="Times New Roman" w:hAnsi="Arial" w:cs="Arial"/>
                <w:color w:val="000000"/>
                <w:sz w:val="18"/>
                <w:szCs w:val="18"/>
              </w:rPr>
              <w:br/>
              <w:t>09/2014 – 06/2016 (no cost extension through 06/2017)</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r w:rsidR="005A47A5" w:rsidRPr="005A47A5" w:rsidTr="005A47A5">
        <w:tc>
          <w:tcPr>
            <w:tcW w:w="0" w:type="auto"/>
            <w:vAlign w:val="center"/>
            <w:hideMark/>
          </w:tcPr>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t xml:space="preserve">Abstract: </w:t>
            </w:r>
            <w:r w:rsidRPr="005A47A5">
              <w:rPr>
                <w:rFonts w:ascii="Arial" w:eastAsia="Times New Roman" w:hAnsi="Arial" w:cs="Arial"/>
                <w:color w:val="000000"/>
                <w:sz w:val="18"/>
                <w:szCs w:val="18"/>
              </w:rPr>
              <w:br/>
              <w:t>Depression and other mental illnesses lead to more disability than the most prevalent physical chronic illnesses such as heart disease, diabetes, and cancer, and may cost the U.S. healthcare system as much as 300 billion dollars annually. There are clear racial and ethnic differences in depression treatment, however, it is unknown if these are patient, provider, or healthcare system driven. The diversity supplement was designed to build on previous work funded within the Mental Health Research Network (MHRN) on practice variation in the treatment of depression. The original aims of the diversity supplement were as follows:</w:t>
            </w:r>
          </w:p>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color w:val="000000"/>
                <w:sz w:val="18"/>
                <w:szCs w:val="18"/>
                <w:u w:val="single"/>
              </w:rPr>
              <w:t>Aim 1:</w:t>
            </w:r>
            <w:r w:rsidRPr="005A47A5">
              <w:rPr>
                <w:rFonts w:ascii="Arial" w:eastAsia="Times New Roman" w:hAnsi="Arial" w:cs="Arial"/>
                <w:color w:val="000000"/>
                <w:sz w:val="18"/>
                <w:szCs w:val="18"/>
              </w:rPr>
              <w:t xml:space="preserve"> To understand the healthcare system-, provider-, and patient-level factors that predict taking the initial antidepressant medication prescribed and/or attendance at the initial psychotherapy visit (primary adherence) within 30 days of an initial depression diagnosis. </w:t>
            </w:r>
            <w:r w:rsidRPr="005A47A5">
              <w:rPr>
                <w:rFonts w:ascii="Arial" w:eastAsia="Times New Roman" w:hAnsi="Arial" w:cs="Arial"/>
                <w:color w:val="000000"/>
                <w:sz w:val="18"/>
                <w:szCs w:val="18"/>
              </w:rPr>
              <w:br/>
            </w:r>
            <w:r w:rsidRPr="005A47A5">
              <w:rPr>
                <w:rFonts w:ascii="Arial" w:eastAsia="Times New Roman" w:hAnsi="Arial" w:cs="Arial"/>
                <w:color w:val="000000"/>
                <w:sz w:val="18"/>
                <w:szCs w:val="18"/>
                <w:u w:val="single"/>
              </w:rPr>
              <w:t>Aim 2:</w:t>
            </w:r>
            <w:r w:rsidRPr="005A47A5">
              <w:rPr>
                <w:rFonts w:ascii="Arial" w:eastAsia="Times New Roman" w:hAnsi="Arial" w:cs="Arial"/>
                <w:color w:val="000000"/>
                <w:sz w:val="18"/>
                <w:szCs w:val="18"/>
              </w:rPr>
              <w:t xml:space="preserve"> To identify the healthcare system-, provider-, and patient-level factors that predict continuation of depression-related treatment once started (secondary adherence). </w:t>
            </w:r>
            <w:r w:rsidRPr="005A47A5">
              <w:rPr>
                <w:rFonts w:ascii="Arial" w:eastAsia="Times New Roman" w:hAnsi="Arial" w:cs="Arial"/>
                <w:color w:val="000000"/>
                <w:sz w:val="18"/>
                <w:szCs w:val="18"/>
              </w:rPr>
              <w:br/>
            </w:r>
            <w:r w:rsidRPr="005A47A5">
              <w:rPr>
                <w:rFonts w:ascii="Arial" w:eastAsia="Times New Roman" w:hAnsi="Arial" w:cs="Arial"/>
                <w:color w:val="000000"/>
                <w:sz w:val="18"/>
                <w:szCs w:val="18"/>
                <w:u w:val="single"/>
              </w:rPr>
              <w:t>AIM 3:</w:t>
            </w:r>
            <w:r w:rsidRPr="005A47A5">
              <w:rPr>
                <w:rFonts w:ascii="Arial" w:eastAsia="Times New Roman" w:hAnsi="Arial" w:cs="Arial"/>
                <w:color w:val="000000"/>
                <w:sz w:val="18"/>
                <w:szCs w:val="18"/>
              </w:rPr>
              <w:t xml:space="preserve"> To characterize racial/ethnic disparities in the achievement of depression improvement or remission with treatment as assessed with the patient health questionnaire (PHQ9), and to understand the role of adherence in this response to treatment.</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r w:rsidR="005A47A5" w:rsidRPr="005A47A5" w:rsidTr="005A47A5">
        <w:tc>
          <w:tcPr>
            <w:tcW w:w="0" w:type="auto"/>
            <w:vAlign w:val="center"/>
            <w:hideMark/>
          </w:tcPr>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t>Grant Number:  </w:t>
            </w:r>
            <w:r w:rsidRPr="005A47A5">
              <w:rPr>
                <w:rFonts w:ascii="Arial" w:eastAsia="Times New Roman" w:hAnsi="Arial" w:cs="Arial"/>
                <w:color w:val="000000"/>
                <w:sz w:val="18"/>
                <w:szCs w:val="18"/>
              </w:rPr>
              <w:br/>
              <w:t xml:space="preserve">U19MH092201 (Supplement under MHRN II) </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r w:rsidR="005A47A5" w:rsidRPr="005A47A5" w:rsidTr="005A47A5">
        <w:tc>
          <w:tcPr>
            <w:tcW w:w="0" w:type="auto"/>
            <w:vAlign w:val="center"/>
            <w:hideMark/>
          </w:tcPr>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lastRenderedPageBreak/>
              <w:t>Participating Sites Contributing Data:</w:t>
            </w:r>
            <w:r w:rsidRPr="005A47A5">
              <w:rPr>
                <w:rFonts w:ascii="Arial" w:eastAsia="Times New Roman" w:hAnsi="Arial" w:cs="Arial"/>
                <w:color w:val="000000"/>
                <w:sz w:val="18"/>
                <w:szCs w:val="18"/>
              </w:rPr>
              <w:br/>
              <w:t>Kaiser Permanente Southern California, Pasadena, CA</w:t>
            </w:r>
            <w:r w:rsidRPr="005A47A5">
              <w:rPr>
                <w:rFonts w:ascii="Arial" w:eastAsia="Times New Roman" w:hAnsi="Arial" w:cs="Arial"/>
                <w:color w:val="000000"/>
                <w:sz w:val="18"/>
                <w:szCs w:val="18"/>
              </w:rPr>
              <w:br/>
              <w:t>Group Health Cooperative, Seattle, Washington</w:t>
            </w:r>
            <w:r w:rsidRPr="005A47A5">
              <w:rPr>
                <w:rFonts w:ascii="Arial" w:eastAsia="Times New Roman" w:hAnsi="Arial" w:cs="Arial"/>
                <w:color w:val="000000"/>
                <w:sz w:val="18"/>
                <w:szCs w:val="18"/>
              </w:rPr>
              <w:br/>
              <w:t>HealthPartners Institute, Minneapolis, Minnesota</w:t>
            </w:r>
            <w:r w:rsidRPr="005A47A5">
              <w:rPr>
                <w:rFonts w:ascii="Arial" w:eastAsia="Times New Roman" w:hAnsi="Arial" w:cs="Arial"/>
                <w:color w:val="000000"/>
                <w:sz w:val="18"/>
                <w:szCs w:val="18"/>
              </w:rPr>
              <w:br/>
              <w:t>Kaiser Permanente Colorado, Denver, Colorado</w:t>
            </w:r>
            <w:r w:rsidRPr="005A47A5">
              <w:rPr>
                <w:rFonts w:ascii="Arial" w:eastAsia="Times New Roman" w:hAnsi="Arial" w:cs="Arial"/>
                <w:color w:val="000000"/>
                <w:sz w:val="18"/>
                <w:szCs w:val="18"/>
              </w:rPr>
              <w:br/>
              <w:t>Kaiser Permanente Hawaii, Honolulu, Hawaii</w:t>
            </w:r>
            <w:r w:rsidRPr="005A47A5">
              <w:rPr>
                <w:rFonts w:ascii="Arial" w:eastAsia="Times New Roman" w:hAnsi="Arial" w:cs="Arial"/>
                <w:color w:val="000000"/>
                <w:sz w:val="18"/>
                <w:szCs w:val="18"/>
              </w:rPr>
              <w:br/>
              <w:t>Henry Ford Healthcare Systems, Detroit, Michigan</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r w:rsidR="005A47A5" w:rsidRPr="005A47A5" w:rsidTr="005A47A5">
        <w:tc>
          <w:tcPr>
            <w:tcW w:w="0" w:type="auto"/>
            <w:vAlign w:val="center"/>
            <w:hideMark/>
          </w:tcPr>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t>Additional Sites Participating in the Study:</w:t>
            </w:r>
            <w:r w:rsidRPr="005A47A5">
              <w:rPr>
                <w:rFonts w:ascii="Arial" w:eastAsia="Times New Roman" w:hAnsi="Arial" w:cs="Arial"/>
                <w:color w:val="000000"/>
                <w:sz w:val="18"/>
                <w:szCs w:val="18"/>
              </w:rPr>
              <w:br/>
              <w:t>Baylor Scott &amp; White, Temple, Texas</w:t>
            </w:r>
            <w:r w:rsidRPr="005A47A5">
              <w:rPr>
                <w:rFonts w:ascii="Arial" w:eastAsia="Times New Roman" w:hAnsi="Arial" w:cs="Arial"/>
                <w:color w:val="000000"/>
                <w:sz w:val="18"/>
                <w:szCs w:val="18"/>
              </w:rPr>
              <w:br/>
              <w:t>University of Utah, Salt Lake City, Utah</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r w:rsidR="005A47A5" w:rsidRPr="005A47A5" w:rsidTr="005A47A5">
        <w:tc>
          <w:tcPr>
            <w:tcW w:w="0" w:type="auto"/>
            <w:vAlign w:val="center"/>
            <w:hideMark/>
          </w:tcPr>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t>Investigators:</w:t>
            </w:r>
            <w:r w:rsidRPr="005A47A5">
              <w:rPr>
                <w:rFonts w:ascii="Arial" w:eastAsia="Times New Roman" w:hAnsi="Arial" w:cs="Arial"/>
                <w:color w:val="000000"/>
                <w:sz w:val="18"/>
                <w:szCs w:val="18"/>
              </w:rPr>
              <w:br/>
              <w:t>Karen J. Coleman, PhD</w:t>
            </w:r>
            <w:r w:rsidRPr="005A47A5">
              <w:rPr>
                <w:rFonts w:ascii="Arial" w:eastAsia="Times New Roman" w:hAnsi="Arial" w:cs="Arial"/>
                <w:color w:val="000000"/>
                <w:sz w:val="18"/>
                <w:szCs w:val="18"/>
              </w:rPr>
              <w:br/>
              <w:t>Gregory Simon, MD MPH</w:t>
            </w:r>
            <w:r w:rsidRPr="005A47A5">
              <w:rPr>
                <w:rFonts w:ascii="Arial" w:eastAsia="Times New Roman" w:hAnsi="Arial" w:cs="Arial"/>
                <w:color w:val="000000"/>
                <w:sz w:val="18"/>
                <w:szCs w:val="18"/>
              </w:rPr>
              <w:br/>
              <w:t>Rebecca Rossom, MD</w:t>
            </w:r>
            <w:r w:rsidRPr="005A47A5">
              <w:rPr>
                <w:rFonts w:ascii="Arial" w:eastAsia="Times New Roman" w:hAnsi="Arial" w:cs="Arial"/>
                <w:color w:val="000000"/>
                <w:sz w:val="18"/>
                <w:szCs w:val="18"/>
              </w:rPr>
              <w:br/>
              <w:t>Arne Beck, PhD</w:t>
            </w:r>
            <w:r w:rsidRPr="005A47A5">
              <w:rPr>
                <w:rFonts w:ascii="Arial" w:eastAsia="Times New Roman" w:hAnsi="Arial" w:cs="Arial"/>
                <w:color w:val="000000"/>
                <w:sz w:val="18"/>
                <w:szCs w:val="18"/>
              </w:rPr>
              <w:br/>
              <w:t>Beth Waitzfelder, PhD</w:t>
            </w:r>
            <w:r w:rsidRPr="005A47A5">
              <w:rPr>
                <w:rFonts w:ascii="Arial" w:eastAsia="Times New Roman" w:hAnsi="Arial" w:cs="Arial"/>
                <w:color w:val="000000"/>
                <w:sz w:val="18"/>
                <w:szCs w:val="18"/>
              </w:rPr>
              <w:br/>
              <w:t xml:space="preserve">John </w:t>
            </w:r>
            <w:proofErr w:type="spellStart"/>
            <w:r w:rsidRPr="005A47A5">
              <w:rPr>
                <w:rFonts w:ascii="Arial" w:eastAsia="Times New Roman" w:hAnsi="Arial" w:cs="Arial"/>
                <w:color w:val="000000"/>
                <w:sz w:val="18"/>
                <w:szCs w:val="18"/>
              </w:rPr>
              <w:t>Zieber</w:t>
            </w:r>
            <w:proofErr w:type="spellEnd"/>
            <w:r w:rsidRPr="005A47A5">
              <w:rPr>
                <w:rFonts w:ascii="Arial" w:eastAsia="Times New Roman" w:hAnsi="Arial" w:cs="Arial"/>
                <w:color w:val="000000"/>
                <w:sz w:val="18"/>
                <w:szCs w:val="18"/>
              </w:rPr>
              <w:t>, PhD</w:t>
            </w:r>
            <w:r w:rsidRPr="005A47A5">
              <w:rPr>
                <w:rFonts w:ascii="Arial" w:eastAsia="Times New Roman" w:hAnsi="Arial" w:cs="Arial"/>
                <w:color w:val="000000"/>
                <w:sz w:val="18"/>
                <w:szCs w:val="18"/>
              </w:rPr>
              <w:br/>
              <w:t xml:space="preserve">Brian </w:t>
            </w:r>
            <w:proofErr w:type="spellStart"/>
            <w:r w:rsidRPr="005A47A5">
              <w:rPr>
                <w:rFonts w:ascii="Arial" w:eastAsia="Times New Roman" w:hAnsi="Arial" w:cs="Arial"/>
                <w:color w:val="000000"/>
                <w:sz w:val="18"/>
                <w:szCs w:val="18"/>
              </w:rPr>
              <w:t>Ahmedani</w:t>
            </w:r>
            <w:proofErr w:type="spellEnd"/>
            <w:r w:rsidRPr="005A47A5">
              <w:rPr>
                <w:rFonts w:ascii="Arial" w:eastAsia="Times New Roman" w:hAnsi="Arial" w:cs="Arial"/>
                <w:color w:val="000000"/>
                <w:sz w:val="18"/>
                <w:szCs w:val="18"/>
              </w:rPr>
              <w:t>, PhD</w:t>
            </w:r>
            <w:r w:rsidRPr="005A47A5">
              <w:rPr>
                <w:rFonts w:ascii="Arial" w:eastAsia="Times New Roman" w:hAnsi="Arial" w:cs="Arial"/>
                <w:color w:val="000000"/>
                <w:sz w:val="18"/>
                <w:szCs w:val="18"/>
              </w:rPr>
              <w:br/>
              <w:t>Zach Imel, PhD</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r w:rsidR="005A47A5" w:rsidRPr="005A47A5" w:rsidTr="005A47A5">
        <w:tc>
          <w:tcPr>
            <w:tcW w:w="0" w:type="auto"/>
            <w:vAlign w:val="center"/>
            <w:hideMark/>
          </w:tcPr>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t>Major Goals:</w:t>
            </w:r>
          </w:p>
          <w:p w:rsidR="005A47A5" w:rsidRPr="005A47A5" w:rsidRDefault="005A47A5" w:rsidP="005A47A5">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5A47A5">
              <w:rPr>
                <w:rFonts w:ascii="Arial" w:eastAsia="Times New Roman" w:hAnsi="Arial" w:cs="Arial"/>
                <w:color w:val="000000"/>
                <w:sz w:val="18"/>
                <w:szCs w:val="18"/>
              </w:rPr>
              <w:t xml:space="preserve">To provide a </w:t>
            </w:r>
            <w:proofErr w:type="gramStart"/>
            <w:r w:rsidRPr="005A47A5">
              <w:rPr>
                <w:rFonts w:ascii="Arial" w:eastAsia="Times New Roman" w:hAnsi="Arial" w:cs="Arial"/>
                <w:color w:val="000000"/>
                <w:sz w:val="18"/>
                <w:szCs w:val="18"/>
              </w:rPr>
              <w:t>high level</w:t>
            </w:r>
            <w:proofErr w:type="gramEnd"/>
            <w:r w:rsidRPr="005A47A5">
              <w:rPr>
                <w:rFonts w:ascii="Arial" w:eastAsia="Times New Roman" w:hAnsi="Arial" w:cs="Arial"/>
                <w:color w:val="000000"/>
                <w:sz w:val="18"/>
                <w:szCs w:val="18"/>
              </w:rPr>
              <w:t xml:space="preserve"> understanding of how race/ethnicity contributes independently to the variation for initiation and continuation of depression treatment.</w:t>
            </w:r>
          </w:p>
          <w:p w:rsidR="005A47A5" w:rsidRPr="005A47A5" w:rsidRDefault="005A47A5" w:rsidP="005A47A5">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5A47A5">
              <w:rPr>
                <w:rFonts w:ascii="Arial" w:eastAsia="Times New Roman" w:hAnsi="Arial" w:cs="Arial"/>
                <w:color w:val="000000"/>
                <w:sz w:val="18"/>
                <w:szCs w:val="18"/>
              </w:rPr>
              <w:t>To provide a dataset and documentation associated with this dataset and its analyses that can be used by other researchers interested in the treatment of depression in large healthcare systems.</w:t>
            </w:r>
          </w:p>
          <w:p w:rsidR="005A47A5" w:rsidRPr="005A47A5" w:rsidRDefault="005A47A5" w:rsidP="005A47A5">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5A47A5">
              <w:rPr>
                <w:rFonts w:ascii="Arial" w:eastAsia="Times New Roman" w:hAnsi="Arial" w:cs="Arial"/>
                <w:color w:val="000000"/>
                <w:sz w:val="18"/>
                <w:szCs w:val="18"/>
              </w:rPr>
              <w:t>To provide a basis for testing culturally tailored or appropriate interventions that improve the adherence to depression treatment in a variety of patient populations.</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r w:rsidR="005A47A5" w:rsidRPr="005A47A5" w:rsidTr="005A47A5">
        <w:tc>
          <w:tcPr>
            <w:tcW w:w="0" w:type="auto"/>
            <w:vAlign w:val="center"/>
            <w:hideMark/>
          </w:tcPr>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t>Major Limitations:</w:t>
            </w:r>
          </w:p>
          <w:p w:rsidR="005A47A5" w:rsidRPr="005A47A5" w:rsidRDefault="005A47A5" w:rsidP="005A47A5">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5A47A5">
              <w:rPr>
                <w:rFonts w:ascii="Arial" w:eastAsia="Times New Roman" w:hAnsi="Arial" w:cs="Arial"/>
                <w:color w:val="000000"/>
                <w:sz w:val="18"/>
                <w:szCs w:val="18"/>
              </w:rPr>
              <w:t>Questions about depression treatment outcomes cannot be addressed with this dataset because PHQ9 data collection in the five healthcare systems during the study period was not widespread.</w:t>
            </w:r>
          </w:p>
          <w:p w:rsidR="005A47A5" w:rsidRPr="005A47A5" w:rsidRDefault="005A47A5" w:rsidP="005A47A5">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5A47A5">
              <w:rPr>
                <w:rFonts w:ascii="Arial" w:eastAsia="Times New Roman" w:hAnsi="Arial" w:cs="Arial"/>
                <w:color w:val="000000"/>
                <w:sz w:val="18"/>
                <w:szCs w:val="18"/>
              </w:rPr>
              <w:t>Questions about healthcare system variation in policies and guidelines for depression treatment cannot be addressed with this dataset as these variables were not available for study.</w:t>
            </w:r>
          </w:p>
          <w:p w:rsidR="005A47A5" w:rsidRPr="005A47A5" w:rsidRDefault="005A47A5" w:rsidP="005A47A5">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5A47A5">
              <w:rPr>
                <w:rFonts w:ascii="Arial" w:eastAsia="Times New Roman" w:hAnsi="Arial" w:cs="Arial"/>
                <w:color w:val="000000"/>
                <w:sz w:val="18"/>
                <w:szCs w:val="18"/>
              </w:rPr>
              <w:t>Questions about provider-level variation in the treatment of depression can only be addressed for two sites in the study due to the lack of data collected for providers in the other sites. Thus, conclusions about provider-level variation and its contribution to depression treatment modalities and adherence cannot generalize to other healthcare settings.</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r w:rsidR="005A47A5" w:rsidRPr="005A47A5" w:rsidTr="005A47A5">
        <w:tc>
          <w:tcPr>
            <w:tcW w:w="0" w:type="auto"/>
            <w:vAlign w:val="center"/>
            <w:hideMark/>
          </w:tcPr>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lastRenderedPageBreak/>
              <w:t>Description of study sample:</w:t>
            </w:r>
            <w:r w:rsidRPr="005A47A5">
              <w:rPr>
                <w:rFonts w:ascii="Arial" w:eastAsia="Times New Roman" w:hAnsi="Arial" w:cs="Arial"/>
                <w:color w:val="000000"/>
                <w:sz w:val="18"/>
                <w:szCs w:val="18"/>
              </w:rPr>
              <w:br/>
              <w:t>There are two study samples included in this study. One is for initiation of treatment for patients newly diagnosed with depression and one is for adherence to a new episode of antidepressant medication and/or formal psychotherapy treatment in patients diagnosed with depression.</w:t>
            </w:r>
          </w:p>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color w:val="000000"/>
                <w:sz w:val="18"/>
                <w:szCs w:val="18"/>
                <w:u w:val="single"/>
              </w:rPr>
              <w:t>Treatment in the Newly Diagnosed</w:t>
            </w:r>
            <w:r w:rsidRPr="005A47A5">
              <w:rPr>
                <w:rFonts w:ascii="Arial" w:eastAsia="Times New Roman" w:hAnsi="Arial" w:cs="Arial"/>
                <w:color w:val="000000"/>
                <w:sz w:val="18"/>
                <w:szCs w:val="18"/>
              </w:rPr>
              <w:br/>
              <w:t xml:space="preserve">Patients 18 and older who had a new depression diagnosis in primary care clinics between 1/1/2009 and 12/31/2013 were included. Patients were excluded if they had a diagnosis of bipolar disorder, schizophrenia spectrum disorder, or other psychosis in the prior two years to the diagnosis date. To ensure the availability of data needed to create the patient sample for all analyses, the sample was limited to those who were continuously enrolled in the healthcare systems for at least 360 days prior to the diagnosis date, allowing a </w:t>
            </w:r>
            <w:proofErr w:type="gramStart"/>
            <w:r w:rsidRPr="005A47A5">
              <w:rPr>
                <w:rFonts w:ascii="Arial" w:eastAsia="Times New Roman" w:hAnsi="Arial" w:cs="Arial"/>
                <w:color w:val="000000"/>
                <w:sz w:val="18"/>
                <w:szCs w:val="18"/>
              </w:rPr>
              <w:t>60 day</w:t>
            </w:r>
            <w:proofErr w:type="gramEnd"/>
            <w:r w:rsidRPr="005A47A5">
              <w:rPr>
                <w:rFonts w:ascii="Arial" w:eastAsia="Times New Roman" w:hAnsi="Arial" w:cs="Arial"/>
                <w:color w:val="000000"/>
                <w:sz w:val="18"/>
                <w:szCs w:val="18"/>
              </w:rPr>
              <w:t xml:space="preserve"> gap. New episodes of depression were defined as an ICD-9 code for depression made in a primary care setting, with no diagnosis or treatment for depression (either psychotherapy or antidepressant medication) during the 360 days prior to the diagnosis. These patients were followed for 90 days after the diagnosis date to look for the initiation of treatment (see definitions below for treatment). Patients who dis-enrolled from the healthcare systems in less than 90 days after diagnosis were excluded.  </w:t>
            </w:r>
          </w:p>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color w:val="000000"/>
                <w:sz w:val="18"/>
                <w:szCs w:val="18"/>
                <w:u w:val="single"/>
              </w:rPr>
              <w:t>Adherence in the Newly Treated</w:t>
            </w:r>
            <w:r w:rsidRPr="005A47A5">
              <w:rPr>
                <w:rFonts w:ascii="Arial" w:eastAsia="Times New Roman" w:hAnsi="Arial" w:cs="Arial"/>
                <w:color w:val="000000"/>
                <w:sz w:val="18"/>
                <w:szCs w:val="18"/>
              </w:rPr>
              <w:br/>
              <w:t xml:space="preserve">Patients 18 and older who had a new episode of formal psychotherapy treatment (PT) between 1/1/2010 and 12/31/2013 or a new antidepressant treatment (AD) between 1/1/2010 and 12/31/2013 were included. Patients were excluded if they had a diagnosis of bipolar disorder, schizophrenia spectrum disorder, or other psychosis in the prior two years to index date. The sample was also limited to those who were continuously enrolled in the healthcare systems for at least 270 days prior to the index AD/PT episode, allowing a </w:t>
            </w:r>
            <w:proofErr w:type="gramStart"/>
            <w:r w:rsidRPr="005A47A5">
              <w:rPr>
                <w:rFonts w:ascii="Arial" w:eastAsia="Times New Roman" w:hAnsi="Arial" w:cs="Arial"/>
                <w:color w:val="000000"/>
                <w:sz w:val="18"/>
                <w:szCs w:val="18"/>
              </w:rPr>
              <w:t>60 day</w:t>
            </w:r>
            <w:proofErr w:type="gramEnd"/>
            <w:r w:rsidRPr="005A47A5">
              <w:rPr>
                <w:rFonts w:ascii="Arial" w:eastAsia="Times New Roman" w:hAnsi="Arial" w:cs="Arial"/>
                <w:color w:val="000000"/>
                <w:sz w:val="18"/>
                <w:szCs w:val="18"/>
              </w:rPr>
              <w:t xml:space="preserve"> gap. A new episode of AD/PT treatment was defined as not having any evidence of the same type of treatment (AD or PT) during the previous 270 days before the date of the new episode.  AD episodes with a prescription for trazodone were excluded because this drug is primarily prescribed for sleep disturbance and not depression. We did not consider appointments that were less than 30 minutes and/or clearly designated as only medication management to be formal psychotherapy.</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r w:rsidR="005A47A5" w:rsidRPr="005A47A5" w:rsidTr="005A47A5">
        <w:tc>
          <w:tcPr>
            <w:tcW w:w="0" w:type="auto"/>
            <w:vAlign w:val="center"/>
            <w:hideMark/>
          </w:tcPr>
          <w:p w:rsidR="005A47A5" w:rsidRPr="005A47A5" w:rsidRDefault="005A47A5" w:rsidP="005A47A5">
            <w:pPr>
              <w:spacing w:before="120" w:after="120" w:line="270" w:lineRule="atLeast"/>
              <w:rPr>
                <w:rFonts w:ascii="Arial" w:eastAsia="Times New Roman" w:hAnsi="Arial" w:cs="Arial"/>
                <w:color w:val="000000"/>
                <w:sz w:val="18"/>
                <w:szCs w:val="18"/>
              </w:rPr>
            </w:pPr>
            <w:proofErr w:type="gramStart"/>
            <w:r w:rsidRPr="005A47A5">
              <w:rPr>
                <w:rFonts w:ascii="Arial" w:eastAsia="Times New Roman" w:hAnsi="Arial" w:cs="Arial"/>
                <w:b/>
                <w:bCs/>
                <w:color w:val="000000"/>
                <w:sz w:val="18"/>
                <w:szCs w:val="18"/>
              </w:rPr>
              <w:t>Current Status</w:t>
            </w:r>
            <w:proofErr w:type="gramEnd"/>
            <w:r w:rsidRPr="005A47A5">
              <w:rPr>
                <w:rFonts w:ascii="Arial" w:eastAsia="Times New Roman" w:hAnsi="Arial" w:cs="Arial"/>
                <w:b/>
                <w:bCs/>
                <w:color w:val="000000"/>
                <w:sz w:val="18"/>
                <w:szCs w:val="18"/>
              </w:rPr>
              <w:t>:</w:t>
            </w:r>
            <w:r w:rsidRPr="005A47A5">
              <w:rPr>
                <w:rFonts w:ascii="Arial" w:eastAsia="Times New Roman" w:hAnsi="Arial" w:cs="Arial"/>
                <w:color w:val="000000"/>
                <w:sz w:val="18"/>
                <w:szCs w:val="18"/>
              </w:rPr>
              <w:br/>
              <w:t>The analytic dataset and its documentation have been compiled.  Further analyses funded by the project are limited to the following manuscripts which are currently in process:</w:t>
            </w:r>
          </w:p>
          <w:p w:rsidR="005A47A5" w:rsidRPr="00A86EDF" w:rsidRDefault="005A47A5" w:rsidP="00A86EDF">
            <w:pPr>
              <w:pStyle w:val="ListParagraph"/>
              <w:numPr>
                <w:ilvl w:val="0"/>
                <w:numId w:val="5"/>
              </w:numPr>
              <w:spacing w:line="270" w:lineRule="atLeast"/>
              <w:rPr>
                <w:rFonts w:ascii="Arial" w:eastAsia="Times New Roman" w:hAnsi="Arial" w:cs="Arial"/>
                <w:color w:val="000000"/>
                <w:sz w:val="18"/>
                <w:szCs w:val="18"/>
              </w:rPr>
            </w:pPr>
            <w:r w:rsidRPr="00A86EDF">
              <w:rPr>
                <w:rFonts w:ascii="Arial" w:eastAsia="Times New Roman" w:hAnsi="Arial" w:cs="Arial"/>
                <w:color w:val="000000"/>
                <w:sz w:val="18"/>
                <w:szCs w:val="18"/>
              </w:rPr>
              <w:t>The Mental Health Provider as a Source of Racial and Ethnic Disparities in Adherence to Antidepressant Medication and Psychotherapy (Imel et al.)</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r w:rsidR="005A47A5" w:rsidRPr="005A47A5" w:rsidTr="005A47A5">
        <w:tc>
          <w:tcPr>
            <w:tcW w:w="0" w:type="auto"/>
            <w:vAlign w:val="center"/>
            <w:hideMark/>
          </w:tcPr>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t xml:space="preserve">Study Registration: </w:t>
            </w:r>
            <w:r w:rsidRPr="005A47A5">
              <w:rPr>
                <w:rFonts w:ascii="Arial" w:eastAsia="Times New Roman" w:hAnsi="Arial" w:cs="Arial"/>
                <w:color w:val="000000"/>
                <w:sz w:val="18"/>
                <w:szCs w:val="18"/>
              </w:rPr>
              <w:br/>
              <w:t>N/A</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r w:rsidR="005A47A5" w:rsidRPr="005A47A5" w:rsidTr="005A47A5">
        <w:tc>
          <w:tcPr>
            <w:tcW w:w="0" w:type="auto"/>
            <w:vAlign w:val="center"/>
            <w:hideMark/>
          </w:tcPr>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t xml:space="preserve">Publications: </w:t>
            </w:r>
            <w:r w:rsidRPr="005A47A5">
              <w:rPr>
                <w:rFonts w:ascii="Arial" w:eastAsia="Times New Roman" w:hAnsi="Arial" w:cs="Arial"/>
                <w:color w:val="000000"/>
                <w:sz w:val="18"/>
                <w:szCs w:val="18"/>
              </w:rPr>
              <w:br/>
              <w:t xml:space="preserve">Coleman KJ, Stewart C, Waitzfelder BE, Zeber JE, Morales LS, Ahmed AT, Ahmedani BK, Beck A, Copeland LA, Cummings JR, </w:t>
            </w:r>
            <w:proofErr w:type="spellStart"/>
            <w:r w:rsidRPr="005A47A5">
              <w:rPr>
                <w:rFonts w:ascii="Arial" w:eastAsia="Times New Roman" w:hAnsi="Arial" w:cs="Arial"/>
                <w:color w:val="000000"/>
                <w:sz w:val="18"/>
                <w:szCs w:val="18"/>
              </w:rPr>
              <w:t>Hunkeler</w:t>
            </w:r>
            <w:proofErr w:type="spellEnd"/>
            <w:r w:rsidRPr="005A47A5">
              <w:rPr>
                <w:rFonts w:ascii="Arial" w:eastAsia="Times New Roman" w:hAnsi="Arial" w:cs="Arial"/>
                <w:color w:val="000000"/>
                <w:sz w:val="18"/>
                <w:szCs w:val="18"/>
              </w:rPr>
              <w:t xml:space="preserve"> EM, Lindberg NM, Lynch F, Lu CY, Owen-Smith AA, </w:t>
            </w:r>
            <w:proofErr w:type="spellStart"/>
            <w:r w:rsidRPr="005A47A5">
              <w:rPr>
                <w:rFonts w:ascii="Arial" w:eastAsia="Times New Roman" w:hAnsi="Arial" w:cs="Arial"/>
                <w:color w:val="000000"/>
                <w:sz w:val="18"/>
                <w:szCs w:val="18"/>
              </w:rPr>
              <w:t>Trinacty</w:t>
            </w:r>
            <w:proofErr w:type="spellEnd"/>
            <w:r w:rsidRPr="005A47A5">
              <w:rPr>
                <w:rFonts w:ascii="Arial" w:eastAsia="Times New Roman" w:hAnsi="Arial" w:cs="Arial"/>
                <w:color w:val="000000"/>
                <w:sz w:val="18"/>
                <w:szCs w:val="18"/>
              </w:rPr>
              <w:t xml:space="preserve"> CM, </w:t>
            </w:r>
            <w:proofErr w:type="spellStart"/>
            <w:r w:rsidRPr="005A47A5">
              <w:rPr>
                <w:rFonts w:ascii="Arial" w:eastAsia="Times New Roman" w:hAnsi="Arial" w:cs="Arial"/>
                <w:color w:val="000000"/>
                <w:sz w:val="18"/>
                <w:szCs w:val="18"/>
              </w:rPr>
              <w:t>Whitebird</w:t>
            </w:r>
            <w:proofErr w:type="spellEnd"/>
            <w:r w:rsidRPr="005A47A5">
              <w:rPr>
                <w:rFonts w:ascii="Arial" w:eastAsia="Times New Roman" w:hAnsi="Arial" w:cs="Arial"/>
                <w:color w:val="000000"/>
                <w:sz w:val="18"/>
                <w:szCs w:val="18"/>
              </w:rPr>
              <w:t xml:space="preserve"> RR, Simon GE. </w:t>
            </w:r>
            <w:hyperlink r:id="rId6" w:history="1">
              <w:r w:rsidRPr="005A47A5">
                <w:rPr>
                  <w:rFonts w:ascii="Arial" w:eastAsia="Times New Roman" w:hAnsi="Arial" w:cs="Arial"/>
                  <w:color w:val="0875BA"/>
                  <w:sz w:val="18"/>
                  <w:szCs w:val="18"/>
                </w:rPr>
                <w:t>Racial-Ethnic Differences in Psychiatric Diagnoses and Treatment Across 11 Health Care Systems in the Mental Health Research Network</w:t>
              </w:r>
            </w:hyperlink>
            <w:r w:rsidRPr="005A47A5">
              <w:rPr>
                <w:rFonts w:ascii="Arial" w:eastAsia="Times New Roman" w:hAnsi="Arial" w:cs="Arial"/>
                <w:color w:val="000000"/>
                <w:sz w:val="18"/>
                <w:szCs w:val="18"/>
              </w:rPr>
              <w:t xml:space="preserve">. </w:t>
            </w:r>
            <w:proofErr w:type="spellStart"/>
            <w:r w:rsidRPr="005A47A5">
              <w:rPr>
                <w:rFonts w:ascii="Arial" w:eastAsia="Times New Roman" w:hAnsi="Arial" w:cs="Arial"/>
                <w:color w:val="000000"/>
                <w:sz w:val="18"/>
                <w:szCs w:val="18"/>
              </w:rPr>
              <w:t>Psychiatr</w:t>
            </w:r>
            <w:proofErr w:type="spellEnd"/>
            <w:r w:rsidRPr="005A47A5">
              <w:rPr>
                <w:rFonts w:ascii="Arial" w:eastAsia="Times New Roman" w:hAnsi="Arial" w:cs="Arial"/>
                <w:color w:val="000000"/>
                <w:sz w:val="18"/>
                <w:szCs w:val="18"/>
              </w:rPr>
              <w:t xml:space="preserve"> Serv. 2016 Jul 1;67(7):749-57. </w:t>
            </w:r>
            <w:proofErr w:type="spellStart"/>
            <w:r w:rsidRPr="005A47A5">
              <w:rPr>
                <w:rFonts w:ascii="Arial" w:eastAsia="Times New Roman" w:hAnsi="Arial" w:cs="Arial"/>
                <w:color w:val="000000"/>
                <w:sz w:val="18"/>
                <w:szCs w:val="18"/>
              </w:rPr>
              <w:t>doi</w:t>
            </w:r>
            <w:proofErr w:type="spellEnd"/>
            <w:r w:rsidRPr="005A47A5">
              <w:rPr>
                <w:rFonts w:ascii="Arial" w:eastAsia="Times New Roman" w:hAnsi="Arial" w:cs="Arial"/>
                <w:color w:val="000000"/>
                <w:sz w:val="18"/>
                <w:szCs w:val="18"/>
              </w:rPr>
              <w:t xml:space="preserve">: 10.1176/appi.ps.201500217. </w:t>
            </w:r>
            <w:proofErr w:type="spellStart"/>
            <w:r w:rsidRPr="005A47A5">
              <w:rPr>
                <w:rFonts w:ascii="Arial" w:eastAsia="Times New Roman" w:hAnsi="Arial" w:cs="Arial"/>
                <w:color w:val="000000"/>
                <w:sz w:val="18"/>
                <w:szCs w:val="18"/>
              </w:rPr>
              <w:t>Epub</w:t>
            </w:r>
            <w:proofErr w:type="spellEnd"/>
            <w:r w:rsidRPr="005A47A5">
              <w:rPr>
                <w:rFonts w:ascii="Arial" w:eastAsia="Times New Roman" w:hAnsi="Arial" w:cs="Arial"/>
                <w:color w:val="000000"/>
                <w:sz w:val="18"/>
                <w:szCs w:val="18"/>
              </w:rPr>
              <w:t xml:space="preserve"> 2016 Apr 15.</w:t>
            </w:r>
          </w:p>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color w:val="000000"/>
                <w:sz w:val="18"/>
                <w:szCs w:val="18"/>
              </w:rPr>
              <w:t xml:space="preserve">Rossom RC, Shortreed S, Coleman KJ, Beck A, Waitzfelder BE, Stewart C, Ahmedani BK, Zeber JE, Simon GE. </w:t>
            </w:r>
            <w:hyperlink r:id="rId7" w:history="1">
              <w:r w:rsidRPr="005A47A5">
                <w:rPr>
                  <w:rFonts w:ascii="Arial" w:eastAsia="Times New Roman" w:hAnsi="Arial" w:cs="Arial"/>
                  <w:color w:val="0875BA"/>
                  <w:sz w:val="18"/>
                  <w:szCs w:val="18"/>
                </w:rPr>
                <w:t>Antidepressant adherence across diverse populations and healthcare settings.</w:t>
              </w:r>
            </w:hyperlink>
            <w:r w:rsidRPr="005A47A5">
              <w:rPr>
                <w:rFonts w:ascii="Arial" w:eastAsia="Times New Roman" w:hAnsi="Arial" w:cs="Arial"/>
                <w:color w:val="000000"/>
                <w:sz w:val="18"/>
                <w:szCs w:val="18"/>
              </w:rPr>
              <w:t xml:space="preserve"> Depress Anxiety. 2016 Aug;33(8):765-74. </w:t>
            </w:r>
            <w:proofErr w:type="spellStart"/>
            <w:r w:rsidRPr="005A47A5">
              <w:rPr>
                <w:rFonts w:ascii="Arial" w:eastAsia="Times New Roman" w:hAnsi="Arial" w:cs="Arial"/>
                <w:color w:val="000000"/>
                <w:sz w:val="18"/>
                <w:szCs w:val="18"/>
              </w:rPr>
              <w:t>doi</w:t>
            </w:r>
            <w:proofErr w:type="spellEnd"/>
            <w:r w:rsidRPr="005A47A5">
              <w:rPr>
                <w:rFonts w:ascii="Arial" w:eastAsia="Times New Roman" w:hAnsi="Arial" w:cs="Arial"/>
                <w:color w:val="000000"/>
                <w:sz w:val="18"/>
                <w:szCs w:val="18"/>
              </w:rPr>
              <w:t xml:space="preserve">: 10.1002/da.22532. </w:t>
            </w:r>
            <w:proofErr w:type="spellStart"/>
            <w:r w:rsidRPr="005A47A5">
              <w:rPr>
                <w:rFonts w:ascii="Arial" w:eastAsia="Times New Roman" w:hAnsi="Arial" w:cs="Arial"/>
                <w:color w:val="000000"/>
                <w:sz w:val="18"/>
                <w:szCs w:val="18"/>
              </w:rPr>
              <w:t>Epub</w:t>
            </w:r>
            <w:proofErr w:type="spellEnd"/>
            <w:r w:rsidRPr="005A47A5">
              <w:rPr>
                <w:rFonts w:ascii="Arial" w:eastAsia="Times New Roman" w:hAnsi="Arial" w:cs="Arial"/>
                <w:color w:val="000000"/>
                <w:sz w:val="18"/>
                <w:szCs w:val="18"/>
              </w:rPr>
              <w:t xml:space="preserve"> 2016 Jun 20.</w:t>
            </w:r>
          </w:p>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color w:val="000000"/>
                <w:sz w:val="18"/>
                <w:szCs w:val="18"/>
              </w:rPr>
              <w:t xml:space="preserve">Simon GE, Coleman KJ, Waitzfelder BE, Beck A, Rossom RC, Stewart C, Penfold RB. </w:t>
            </w:r>
            <w:hyperlink r:id="rId8" w:history="1">
              <w:r w:rsidRPr="005A47A5">
                <w:rPr>
                  <w:rFonts w:ascii="Arial" w:eastAsia="Times New Roman" w:hAnsi="Arial" w:cs="Arial"/>
                  <w:color w:val="0875BA"/>
                  <w:sz w:val="18"/>
                  <w:szCs w:val="18"/>
                </w:rPr>
                <w:t>Adjusting Antidepressant Quality Measures for Race and Ethnicity</w:t>
              </w:r>
            </w:hyperlink>
            <w:r w:rsidRPr="005A47A5">
              <w:rPr>
                <w:rFonts w:ascii="Arial" w:eastAsia="Times New Roman" w:hAnsi="Arial" w:cs="Arial"/>
                <w:color w:val="000000"/>
                <w:sz w:val="18"/>
                <w:szCs w:val="18"/>
              </w:rPr>
              <w:t xml:space="preserve">. JAMA Psychiatry. 2015 Oct;72(10):1055-6. </w:t>
            </w:r>
            <w:proofErr w:type="spellStart"/>
            <w:r w:rsidRPr="005A47A5">
              <w:rPr>
                <w:rFonts w:ascii="Arial" w:eastAsia="Times New Roman" w:hAnsi="Arial" w:cs="Arial"/>
                <w:color w:val="000000"/>
                <w:sz w:val="18"/>
                <w:szCs w:val="18"/>
              </w:rPr>
              <w:t>doi</w:t>
            </w:r>
            <w:proofErr w:type="spellEnd"/>
            <w:r w:rsidRPr="005A47A5">
              <w:rPr>
                <w:rFonts w:ascii="Arial" w:eastAsia="Times New Roman" w:hAnsi="Arial" w:cs="Arial"/>
                <w:color w:val="000000"/>
                <w:sz w:val="18"/>
                <w:szCs w:val="18"/>
              </w:rPr>
              <w:t>: 10.1001/jamapsychiatry.2015.1437.</w:t>
            </w:r>
          </w:p>
          <w:p w:rsid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color w:val="000000"/>
                <w:sz w:val="18"/>
                <w:szCs w:val="18"/>
              </w:rPr>
              <w:t xml:space="preserve">Simon GE, Rossom RC, Beck A, Waitzfelder BE, Coleman KJ, Stewart C, Operskalski B, Penfold RB, Shortreed SM. </w:t>
            </w:r>
            <w:hyperlink r:id="rId9" w:history="1">
              <w:r w:rsidRPr="005A47A5">
                <w:rPr>
                  <w:rFonts w:ascii="Arial" w:eastAsia="Times New Roman" w:hAnsi="Arial" w:cs="Arial"/>
                  <w:color w:val="0875BA"/>
                  <w:sz w:val="18"/>
                  <w:szCs w:val="18"/>
                </w:rPr>
                <w:t>Antidepressants are not overprescribed for mild depression</w:t>
              </w:r>
            </w:hyperlink>
            <w:r w:rsidRPr="005A47A5">
              <w:rPr>
                <w:rFonts w:ascii="Arial" w:eastAsia="Times New Roman" w:hAnsi="Arial" w:cs="Arial"/>
                <w:color w:val="000000"/>
                <w:sz w:val="18"/>
                <w:szCs w:val="18"/>
              </w:rPr>
              <w:t xml:space="preserve">. J </w:t>
            </w:r>
            <w:proofErr w:type="spellStart"/>
            <w:r w:rsidRPr="005A47A5">
              <w:rPr>
                <w:rFonts w:ascii="Arial" w:eastAsia="Times New Roman" w:hAnsi="Arial" w:cs="Arial"/>
                <w:color w:val="000000"/>
                <w:sz w:val="18"/>
                <w:szCs w:val="18"/>
              </w:rPr>
              <w:t>Clin</w:t>
            </w:r>
            <w:proofErr w:type="spellEnd"/>
            <w:r w:rsidRPr="005A47A5">
              <w:rPr>
                <w:rFonts w:ascii="Arial" w:eastAsia="Times New Roman" w:hAnsi="Arial" w:cs="Arial"/>
                <w:color w:val="000000"/>
                <w:sz w:val="18"/>
                <w:szCs w:val="18"/>
              </w:rPr>
              <w:t xml:space="preserve"> Psychiatry. 2015 Dec;76(12):1627-32. </w:t>
            </w:r>
            <w:proofErr w:type="spellStart"/>
            <w:r w:rsidRPr="005A47A5">
              <w:rPr>
                <w:rFonts w:ascii="Arial" w:eastAsia="Times New Roman" w:hAnsi="Arial" w:cs="Arial"/>
                <w:color w:val="000000"/>
                <w:sz w:val="18"/>
                <w:szCs w:val="18"/>
              </w:rPr>
              <w:t>doi</w:t>
            </w:r>
            <w:proofErr w:type="spellEnd"/>
            <w:r w:rsidRPr="005A47A5">
              <w:rPr>
                <w:rFonts w:ascii="Arial" w:eastAsia="Times New Roman" w:hAnsi="Arial" w:cs="Arial"/>
                <w:color w:val="000000"/>
                <w:sz w:val="18"/>
                <w:szCs w:val="18"/>
              </w:rPr>
              <w:t>: 10.4088/JCP.14m09162.</w:t>
            </w:r>
          </w:p>
          <w:p w:rsidR="007461D7" w:rsidRDefault="007461D7" w:rsidP="005A47A5">
            <w:pPr>
              <w:spacing w:before="120" w:after="120" w:line="270" w:lineRule="atLeast"/>
              <w:rPr>
                <w:rFonts w:ascii="Arial" w:eastAsia="Times New Roman" w:hAnsi="Arial" w:cs="Arial"/>
                <w:color w:val="000000"/>
                <w:sz w:val="18"/>
                <w:szCs w:val="18"/>
              </w:rPr>
            </w:pPr>
            <w:r>
              <w:rPr>
                <w:rFonts w:ascii="Arial" w:hAnsi="Arial" w:cs="Arial"/>
                <w:sz w:val="18"/>
                <w:szCs w:val="18"/>
                <w:lang w:val="en"/>
              </w:rPr>
              <w:t xml:space="preserve">Zeber JE, Coleman KJ, Fischer H, Yoon TK, Ahmedani BK, Beck A, Hubley S, Imel ZE, Rossom RC, Shortreed SM, Stewart C, Waitzfelder BE, Simon GE. </w:t>
            </w:r>
            <w:hyperlink r:id="rId10" w:history="1">
              <w:r>
                <w:rPr>
                  <w:rFonts w:ascii="Arial" w:hAnsi="Arial" w:cs="Arial"/>
                  <w:color w:val="14376C"/>
                  <w:sz w:val="18"/>
                  <w:szCs w:val="18"/>
                  <w:u w:val="single"/>
                  <w:lang w:val="en"/>
                </w:rPr>
                <w:t>The impact of race and ethnicity on rates of return to psychotherapy for depression.</w:t>
              </w:r>
            </w:hyperlink>
            <w:r>
              <w:rPr>
                <w:rFonts w:ascii="Arial" w:hAnsi="Arial" w:cs="Arial"/>
                <w:sz w:val="18"/>
                <w:szCs w:val="18"/>
                <w:lang w:val="en"/>
              </w:rPr>
              <w:t xml:space="preserve"> Depress Anxiety. 2017 Dec;34(12):1157-1163. </w:t>
            </w:r>
            <w:proofErr w:type="spellStart"/>
            <w:r>
              <w:rPr>
                <w:rFonts w:ascii="Arial" w:hAnsi="Arial" w:cs="Arial"/>
                <w:sz w:val="18"/>
                <w:szCs w:val="18"/>
                <w:lang w:val="en"/>
              </w:rPr>
              <w:t>doi</w:t>
            </w:r>
            <w:proofErr w:type="spellEnd"/>
            <w:r>
              <w:rPr>
                <w:rFonts w:ascii="Arial" w:hAnsi="Arial" w:cs="Arial"/>
                <w:sz w:val="18"/>
                <w:szCs w:val="18"/>
                <w:lang w:val="en"/>
              </w:rPr>
              <w:t xml:space="preserve">: 10.1002/da.22696. </w:t>
            </w:r>
            <w:proofErr w:type="spellStart"/>
            <w:r>
              <w:rPr>
                <w:rFonts w:ascii="Arial" w:hAnsi="Arial" w:cs="Arial"/>
                <w:sz w:val="18"/>
                <w:szCs w:val="18"/>
                <w:lang w:val="en"/>
              </w:rPr>
              <w:t>Epub</w:t>
            </w:r>
            <w:proofErr w:type="spellEnd"/>
            <w:r>
              <w:rPr>
                <w:rFonts w:ascii="Arial" w:hAnsi="Arial" w:cs="Arial"/>
                <w:sz w:val="18"/>
                <w:szCs w:val="18"/>
                <w:lang w:val="en"/>
              </w:rPr>
              <w:t xml:space="preserve"> 2017 Nov 2. PubMed PMID: 29095538; PubMed Central PMCID: PMC5718939.</w:t>
            </w:r>
          </w:p>
          <w:p w:rsidR="007461D7" w:rsidRPr="005A47A5" w:rsidRDefault="007461D7" w:rsidP="005A47A5">
            <w:pPr>
              <w:spacing w:before="120" w:after="120" w:line="270" w:lineRule="atLeast"/>
              <w:rPr>
                <w:rFonts w:ascii="Arial" w:eastAsia="Times New Roman" w:hAnsi="Arial" w:cs="Arial"/>
                <w:color w:val="000000"/>
                <w:sz w:val="18"/>
                <w:szCs w:val="18"/>
              </w:rPr>
            </w:pPr>
            <w:r>
              <w:rPr>
                <w:rFonts w:ascii="Arial" w:hAnsi="Arial" w:cs="Arial"/>
                <w:sz w:val="18"/>
                <w:szCs w:val="18"/>
                <w:lang w:val="en"/>
              </w:rPr>
              <w:t>Waitzfelder B, Stewart C, Coleman KJ, Rossom R, Ahmeda</w:t>
            </w:r>
            <w:bookmarkStart w:id="0" w:name="_GoBack"/>
            <w:bookmarkEnd w:id="0"/>
            <w:r>
              <w:rPr>
                <w:rFonts w:ascii="Arial" w:hAnsi="Arial" w:cs="Arial"/>
                <w:sz w:val="18"/>
                <w:szCs w:val="18"/>
                <w:lang w:val="en"/>
              </w:rPr>
              <w:t xml:space="preserve">ni BK, Beck A, Zeber JE, Daida YG, Trinacty C, Hubley S, Simon GE. </w:t>
            </w:r>
            <w:hyperlink r:id="rId11" w:history="1">
              <w:r>
                <w:rPr>
                  <w:rFonts w:ascii="Arial" w:hAnsi="Arial" w:cs="Arial"/>
                  <w:color w:val="14376C"/>
                  <w:sz w:val="18"/>
                  <w:szCs w:val="18"/>
                  <w:u w:val="single"/>
                  <w:lang w:val="en"/>
                </w:rPr>
                <w:t>Treatment Initiation for New Episodes of Depression in Primary Care Settings.</w:t>
              </w:r>
            </w:hyperlink>
            <w:r>
              <w:rPr>
                <w:rFonts w:ascii="Arial" w:hAnsi="Arial" w:cs="Arial"/>
                <w:sz w:val="18"/>
                <w:szCs w:val="18"/>
                <w:lang w:val="en"/>
              </w:rPr>
              <w:t xml:space="preserve"> J Gen Intern Med. 2018 Feb 8. </w:t>
            </w:r>
            <w:proofErr w:type="spellStart"/>
            <w:r>
              <w:rPr>
                <w:rFonts w:ascii="Arial" w:hAnsi="Arial" w:cs="Arial"/>
                <w:sz w:val="18"/>
                <w:szCs w:val="18"/>
                <w:lang w:val="en"/>
              </w:rPr>
              <w:t>doi</w:t>
            </w:r>
            <w:proofErr w:type="spellEnd"/>
            <w:r>
              <w:rPr>
                <w:rFonts w:ascii="Arial" w:hAnsi="Arial" w:cs="Arial"/>
                <w:sz w:val="18"/>
                <w:szCs w:val="18"/>
                <w:lang w:val="en"/>
              </w:rPr>
              <w:t>: 10.1007/s11606-017-4297-2. [</w:t>
            </w:r>
            <w:proofErr w:type="spellStart"/>
            <w:r>
              <w:rPr>
                <w:rFonts w:ascii="Arial" w:hAnsi="Arial" w:cs="Arial"/>
                <w:sz w:val="18"/>
                <w:szCs w:val="18"/>
                <w:lang w:val="en"/>
              </w:rPr>
              <w:t>Epub</w:t>
            </w:r>
            <w:proofErr w:type="spellEnd"/>
            <w:r>
              <w:rPr>
                <w:rFonts w:ascii="Arial" w:hAnsi="Arial" w:cs="Arial"/>
                <w:sz w:val="18"/>
                <w:szCs w:val="18"/>
                <w:lang w:val="en"/>
              </w:rPr>
              <w:t xml:space="preserve"> ahead of print] PubMed PMID: 29423624. </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r w:rsidR="005A47A5" w:rsidRPr="005A47A5" w:rsidTr="005A47A5">
        <w:tc>
          <w:tcPr>
            <w:tcW w:w="0" w:type="auto"/>
            <w:vAlign w:val="center"/>
            <w:hideMark/>
          </w:tcPr>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t xml:space="preserve">Resources: </w:t>
            </w:r>
            <w:r w:rsidRPr="005A47A5">
              <w:rPr>
                <w:rFonts w:ascii="Arial" w:eastAsia="Times New Roman" w:hAnsi="Arial" w:cs="Arial"/>
                <w:color w:val="000000"/>
                <w:sz w:val="18"/>
                <w:szCs w:val="18"/>
              </w:rPr>
              <w:br/>
              <w:t xml:space="preserve">A data dictionary and descriptive tables for the data file associated with this project will be available soon. Some research questions cannot be addressed by this dataset and require an initial review and possible discussion to make this determination. For immediate questions, contact Greg Simon at </w:t>
            </w:r>
            <w:hyperlink r:id="rId12" w:history="1">
              <w:r w:rsidRPr="005A47A5">
                <w:rPr>
                  <w:rFonts w:ascii="Arial" w:eastAsia="Times New Roman" w:hAnsi="Arial" w:cs="Arial"/>
                  <w:color w:val="0875BA"/>
                  <w:sz w:val="18"/>
                  <w:szCs w:val="18"/>
                </w:rPr>
                <w:t>simon.g@ghc.org</w:t>
              </w:r>
            </w:hyperlink>
            <w:r w:rsidRPr="005A47A5">
              <w:rPr>
                <w:rFonts w:ascii="Arial" w:eastAsia="Times New Roman" w:hAnsi="Arial" w:cs="Arial"/>
                <w:color w:val="000000"/>
                <w:sz w:val="18"/>
                <w:szCs w:val="18"/>
              </w:rPr>
              <w:t xml:space="preserve">. </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r w:rsidR="005A47A5" w:rsidRPr="005A47A5" w:rsidTr="005A47A5">
        <w:tc>
          <w:tcPr>
            <w:tcW w:w="0" w:type="auto"/>
            <w:vAlign w:val="center"/>
            <w:hideMark/>
          </w:tcPr>
          <w:p w:rsidR="005A47A5"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t>Lessons Learned:</w:t>
            </w:r>
            <w:r w:rsidRPr="005A47A5">
              <w:rPr>
                <w:rFonts w:ascii="Arial" w:eastAsia="Times New Roman" w:hAnsi="Arial" w:cs="Arial"/>
                <w:color w:val="000000"/>
                <w:sz w:val="18"/>
                <w:szCs w:val="18"/>
              </w:rPr>
              <w:br/>
              <w:t xml:space="preserve">For all systems contributing data to this project, electronic medical records, insurance claims, and other data systems were organized in a Virtual Data Warehouse (VDW) to facilitate population-based research. The VDW is a collection of common data definitions and formats to ensure equivalent de-identified data for analysis. Because the VDW relies on data availability from a diverse set of healthcare settings in the </w:t>
            </w:r>
            <w:hyperlink r:id="rId13" w:history="1">
              <w:r w:rsidRPr="005A47A5">
                <w:rPr>
                  <w:rFonts w:ascii="Arial" w:eastAsia="Times New Roman" w:hAnsi="Arial" w:cs="Arial"/>
                  <w:color w:val="0875BA"/>
                  <w:sz w:val="18"/>
                  <w:szCs w:val="18"/>
                </w:rPr>
                <w:t>Health Care Systems Research Network</w:t>
              </w:r>
            </w:hyperlink>
            <w:r w:rsidRPr="005A47A5">
              <w:rPr>
                <w:rFonts w:ascii="Arial" w:eastAsia="Times New Roman" w:hAnsi="Arial" w:cs="Arial"/>
                <w:color w:val="000000"/>
                <w:sz w:val="18"/>
                <w:szCs w:val="18"/>
              </w:rPr>
              <w:t xml:space="preserve"> customizing data abstraction such as healthcare system policy variables or provider-level descriptive information is difficult and in some cases impossible. This needs to be considered when studies are proposed that examine the interplay of healthcare system-, provider-, and patient-level factors in mental health-related treatment choices and outcomes.</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r w:rsidR="005A47A5" w:rsidRPr="005A47A5" w:rsidTr="005A47A5">
        <w:tc>
          <w:tcPr>
            <w:tcW w:w="0" w:type="auto"/>
            <w:vAlign w:val="center"/>
            <w:hideMark/>
          </w:tcPr>
          <w:p w:rsidR="007461D7" w:rsidRPr="005A47A5" w:rsidRDefault="005A47A5" w:rsidP="005A47A5">
            <w:pPr>
              <w:spacing w:before="120" w:after="120" w:line="270" w:lineRule="atLeast"/>
              <w:rPr>
                <w:rFonts w:ascii="Arial" w:eastAsia="Times New Roman" w:hAnsi="Arial" w:cs="Arial"/>
                <w:color w:val="000000"/>
                <w:sz w:val="18"/>
                <w:szCs w:val="18"/>
              </w:rPr>
            </w:pPr>
            <w:r w:rsidRPr="005A47A5">
              <w:rPr>
                <w:rFonts w:ascii="Arial" w:eastAsia="Times New Roman" w:hAnsi="Arial" w:cs="Arial"/>
                <w:b/>
                <w:bCs/>
                <w:color w:val="000000"/>
                <w:sz w:val="18"/>
                <w:szCs w:val="18"/>
              </w:rPr>
              <w:t>What’s next?</w:t>
            </w:r>
          </w:p>
          <w:p w:rsidR="007461D7" w:rsidRPr="007461D7" w:rsidRDefault="005A47A5" w:rsidP="00A86EDF">
            <w:pPr>
              <w:pStyle w:val="ListParagraph"/>
              <w:numPr>
                <w:ilvl w:val="1"/>
                <w:numId w:val="1"/>
              </w:numPr>
              <w:ind w:left="735"/>
              <w:rPr>
                <w:rFonts w:ascii="Arial" w:eastAsia="Times New Roman" w:hAnsi="Arial" w:cs="Arial"/>
                <w:color w:val="000000"/>
                <w:sz w:val="18"/>
                <w:szCs w:val="18"/>
              </w:rPr>
            </w:pPr>
            <w:r w:rsidRPr="00A86EDF">
              <w:rPr>
                <w:rFonts w:ascii="Arial" w:eastAsia="Times New Roman" w:hAnsi="Arial" w:cs="Arial"/>
                <w:color w:val="000000"/>
                <w:sz w:val="18"/>
                <w:szCs w:val="18"/>
              </w:rPr>
              <w:t>Possible harvest of new PHQ9 data as implementation of screening and treatment follow-up have increased exponentially since 2013.</w:t>
            </w:r>
          </w:p>
          <w:p w:rsidR="007461D7" w:rsidRPr="00A86EDF" w:rsidRDefault="007461D7" w:rsidP="00A86EDF">
            <w:pPr>
              <w:pStyle w:val="ListParagraph"/>
              <w:numPr>
                <w:ilvl w:val="1"/>
                <w:numId w:val="1"/>
              </w:numPr>
              <w:ind w:left="735"/>
              <w:rPr>
                <w:rFonts w:ascii="Arial" w:hAnsi="Arial" w:cs="Arial"/>
                <w:sz w:val="18"/>
                <w:szCs w:val="18"/>
              </w:rPr>
            </w:pPr>
            <w:r w:rsidRPr="007461D7">
              <w:rPr>
                <w:rFonts w:ascii="Arial" w:eastAsia="Times New Roman" w:hAnsi="Arial" w:cs="Arial"/>
                <w:color w:val="000000"/>
                <w:sz w:val="18"/>
                <w:szCs w:val="18"/>
              </w:rPr>
              <w:t xml:space="preserve">Pursue an R01 to </w:t>
            </w:r>
            <w:r w:rsidRPr="00A86EDF">
              <w:rPr>
                <w:rFonts w:ascii="Arial" w:hAnsi="Arial" w:cs="Arial"/>
                <w:sz w:val="18"/>
                <w:szCs w:val="18"/>
              </w:rPr>
              <w:t>c</w:t>
            </w:r>
            <w:r w:rsidR="005A47A5" w:rsidRPr="00A86EDF">
              <w:rPr>
                <w:rFonts w:ascii="Arial" w:hAnsi="Arial" w:cs="Arial"/>
                <w:sz w:val="18"/>
                <w:szCs w:val="18"/>
              </w:rPr>
              <w:t>haracterize heterogeneity of achievement of depression improvement or remission</w:t>
            </w:r>
            <w:r w:rsidRPr="00A86EDF">
              <w:rPr>
                <w:rFonts w:ascii="Arial" w:hAnsi="Arial" w:cs="Arial"/>
                <w:sz w:val="18"/>
                <w:szCs w:val="18"/>
              </w:rPr>
              <w:t xml:space="preserve"> and i</w:t>
            </w:r>
            <w:r w:rsidR="005A47A5" w:rsidRPr="00A86EDF">
              <w:rPr>
                <w:rFonts w:ascii="Arial" w:hAnsi="Arial" w:cs="Arial"/>
                <w:sz w:val="18"/>
                <w:szCs w:val="18"/>
              </w:rPr>
              <w:t>ncorporate more healthcare sites (only 6 of 13 MHRN sites were included)</w:t>
            </w:r>
            <w:r w:rsidRPr="00A86EDF">
              <w:rPr>
                <w:rFonts w:ascii="Arial" w:hAnsi="Arial" w:cs="Arial"/>
                <w:sz w:val="18"/>
                <w:szCs w:val="18"/>
              </w:rPr>
              <w:t xml:space="preserve"> and u</w:t>
            </w:r>
            <w:r w:rsidR="005A47A5" w:rsidRPr="00A86EDF">
              <w:rPr>
                <w:rFonts w:ascii="Arial" w:hAnsi="Arial" w:cs="Arial"/>
                <w:sz w:val="18"/>
                <w:szCs w:val="18"/>
              </w:rPr>
              <w:t>se additional provider variation analytic methods.</w:t>
            </w:r>
          </w:p>
          <w:p w:rsidR="005A47A5" w:rsidRPr="00465E18" w:rsidRDefault="005A47A5" w:rsidP="00465E18">
            <w:pPr>
              <w:pStyle w:val="ListParagraph"/>
              <w:numPr>
                <w:ilvl w:val="1"/>
                <w:numId w:val="1"/>
              </w:numPr>
              <w:ind w:left="735"/>
              <w:rPr>
                <w:rFonts w:ascii="Arial" w:hAnsi="Arial" w:cs="Arial"/>
                <w:sz w:val="18"/>
                <w:szCs w:val="18"/>
              </w:rPr>
            </w:pPr>
            <w:r w:rsidRPr="00A86EDF">
              <w:rPr>
                <w:rFonts w:ascii="Arial" w:hAnsi="Arial" w:cs="Arial"/>
                <w:sz w:val="18"/>
                <w:szCs w:val="18"/>
              </w:rPr>
              <w:t xml:space="preserve">Other possible grant ideas that have been discussed: </w:t>
            </w:r>
            <w:r w:rsidRPr="00465E18">
              <w:rPr>
                <w:rFonts w:ascii="Arial" w:eastAsia="Times New Roman" w:hAnsi="Arial" w:cs="Arial"/>
                <w:color w:val="000000"/>
                <w:sz w:val="18"/>
                <w:szCs w:val="18"/>
              </w:rPr>
              <w:t>Culturally-tailored intervention to assist with the decisions around depression treatment (shared decision-making and motivational interviewing models)</w:t>
            </w:r>
          </w:p>
          <w:p w:rsidR="005A47A5" w:rsidRPr="005A47A5" w:rsidRDefault="005A47A5" w:rsidP="005A47A5">
            <w:pPr>
              <w:shd w:val="clear" w:color="auto" w:fill="F5F5F5"/>
              <w:spacing w:before="120" w:after="120" w:line="270" w:lineRule="atLeast"/>
              <w:rPr>
                <w:rFonts w:ascii="Arial" w:eastAsia="Times New Roman" w:hAnsi="Arial" w:cs="Arial"/>
                <w:b/>
                <w:bCs/>
                <w:i/>
                <w:iCs/>
                <w:color w:val="A1A1A1"/>
                <w:sz w:val="20"/>
                <w:szCs w:val="20"/>
              </w:rPr>
            </w:pPr>
            <w:r w:rsidRPr="005A47A5">
              <w:rPr>
                <w:rFonts w:ascii="Arial" w:eastAsia="Times New Roman" w:hAnsi="Arial" w:cs="Arial"/>
                <w:b/>
                <w:bCs/>
                <w:i/>
                <w:iCs/>
                <w:color w:val="A1A1A1"/>
                <w:sz w:val="20"/>
                <w:szCs w:val="20"/>
              </w:rPr>
              <w:t> </w:t>
            </w:r>
          </w:p>
        </w:tc>
        <w:tc>
          <w:tcPr>
            <w:tcW w:w="0" w:type="auto"/>
            <w:vAlign w:val="center"/>
            <w:hideMark/>
          </w:tcPr>
          <w:p w:rsidR="005A47A5" w:rsidRPr="005A47A5" w:rsidRDefault="005A47A5" w:rsidP="005A47A5">
            <w:pPr>
              <w:spacing w:line="270" w:lineRule="atLeast"/>
              <w:rPr>
                <w:rFonts w:ascii="Times New Roman" w:eastAsia="Times New Roman" w:hAnsi="Times New Roman" w:cs="Times New Roman"/>
                <w:sz w:val="20"/>
                <w:szCs w:val="20"/>
              </w:rPr>
            </w:pPr>
          </w:p>
        </w:tc>
      </w:tr>
    </w:tbl>
    <w:p w:rsidR="006E20BF" w:rsidRDefault="006E20BF"/>
    <w:sectPr w:rsidR="006E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F0D62"/>
    <w:multiLevelType w:val="hybridMultilevel"/>
    <w:tmpl w:val="4436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81088"/>
    <w:multiLevelType w:val="multilevel"/>
    <w:tmpl w:val="71CE729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97B8D"/>
    <w:multiLevelType w:val="multilevel"/>
    <w:tmpl w:val="878C69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961B0"/>
    <w:multiLevelType w:val="multilevel"/>
    <w:tmpl w:val="C83C59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D82CC2"/>
    <w:multiLevelType w:val="multilevel"/>
    <w:tmpl w:val="878C69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35DE4"/>
    <w:multiLevelType w:val="hybridMultilevel"/>
    <w:tmpl w:val="5692AA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557F76"/>
    <w:multiLevelType w:val="hybridMultilevel"/>
    <w:tmpl w:val="395C0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C424B"/>
    <w:multiLevelType w:val="multilevel"/>
    <w:tmpl w:val="EF705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3"/>
  </w:num>
  <w:num w:numId="5">
    <w:abstractNumId w:val="2"/>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7A5"/>
    <w:rsid w:val="00335DF5"/>
    <w:rsid w:val="00465E18"/>
    <w:rsid w:val="005A47A5"/>
    <w:rsid w:val="006E20BF"/>
    <w:rsid w:val="007461D7"/>
    <w:rsid w:val="007E4E31"/>
    <w:rsid w:val="00A86EDF"/>
    <w:rsid w:val="00D120F0"/>
    <w:rsid w:val="00F4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5A0A"/>
  <w15:chartTrackingRefBased/>
  <w15:docId w15:val="{5B05B295-B10D-4390-94AC-B6CDB2BC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A47A5"/>
    <w:pPr>
      <w:spacing w:before="100" w:beforeAutospacing="1" w:after="100" w:afterAutospacing="1" w:line="420" w:lineRule="atLeast"/>
      <w:outlineLvl w:val="1"/>
    </w:pPr>
    <w:rPr>
      <w:rFonts w:ascii="Times New Roman" w:eastAsia="Times New Roman" w:hAnsi="Times New Roman" w:cs="Times New Roman"/>
      <w:color w:val="0875BA"/>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7A5"/>
    <w:rPr>
      <w:rFonts w:ascii="Times New Roman" w:eastAsia="Times New Roman" w:hAnsi="Times New Roman" w:cs="Times New Roman"/>
      <w:color w:val="0875BA"/>
      <w:sz w:val="39"/>
      <w:szCs w:val="39"/>
    </w:rPr>
  </w:style>
  <w:style w:type="character" w:styleId="Hyperlink">
    <w:name w:val="Hyperlink"/>
    <w:basedOn w:val="DefaultParagraphFont"/>
    <w:uiPriority w:val="99"/>
    <w:semiHidden/>
    <w:unhideWhenUsed/>
    <w:rsid w:val="005A47A5"/>
    <w:rPr>
      <w:strike w:val="0"/>
      <w:dstrike w:val="0"/>
      <w:color w:val="0875BA"/>
      <w:u w:val="none"/>
      <w:effect w:val="none"/>
    </w:rPr>
  </w:style>
  <w:style w:type="character" w:styleId="Strong">
    <w:name w:val="Strong"/>
    <w:basedOn w:val="DefaultParagraphFont"/>
    <w:uiPriority w:val="22"/>
    <w:qFormat/>
    <w:rsid w:val="005A47A5"/>
    <w:rPr>
      <w:b/>
      <w:bCs/>
    </w:rPr>
  </w:style>
  <w:style w:type="paragraph" w:styleId="ListParagraph">
    <w:name w:val="List Paragraph"/>
    <w:basedOn w:val="Normal"/>
    <w:uiPriority w:val="34"/>
    <w:qFormat/>
    <w:rsid w:val="007461D7"/>
    <w:pPr>
      <w:ind w:left="720"/>
      <w:contextualSpacing/>
    </w:pPr>
  </w:style>
  <w:style w:type="paragraph" w:styleId="BalloonText">
    <w:name w:val="Balloon Text"/>
    <w:basedOn w:val="Normal"/>
    <w:link w:val="BalloonTextChar"/>
    <w:uiPriority w:val="99"/>
    <w:semiHidden/>
    <w:unhideWhenUsed/>
    <w:rsid w:val="007461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1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491199">
      <w:bodyDiv w:val="1"/>
      <w:marLeft w:val="0"/>
      <w:marRight w:val="0"/>
      <w:marTop w:val="0"/>
      <w:marBottom w:val="0"/>
      <w:divBdr>
        <w:top w:val="none" w:sz="0" w:space="0" w:color="auto"/>
        <w:left w:val="none" w:sz="0" w:space="0" w:color="auto"/>
        <w:bottom w:val="none" w:sz="0" w:space="0" w:color="auto"/>
        <w:right w:val="none" w:sz="0" w:space="0" w:color="auto"/>
      </w:divBdr>
      <w:divsChild>
        <w:div w:id="1365595490">
          <w:marLeft w:val="0"/>
          <w:marRight w:val="0"/>
          <w:marTop w:val="300"/>
          <w:marBottom w:val="300"/>
          <w:divBdr>
            <w:top w:val="none" w:sz="0" w:space="0" w:color="auto"/>
            <w:left w:val="none" w:sz="0" w:space="0" w:color="auto"/>
            <w:bottom w:val="none" w:sz="0" w:space="0" w:color="auto"/>
            <w:right w:val="none" w:sz="0" w:space="0" w:color="auto"/>
          </w:divBdr>
          <w:divsChild>
            <w:div w:id="1738236163">
              <w:marLeft w:val="0"/>
              <w:marRight w:val="330"/>
              <w:marTop w:val="315"/>
              <w:marBottom w:val="0"/>
              <w:divBdr>
                <w:top w:val="none" w:sz="0" w:space="0" w:color="auto"/>
                <w:left w:val="none" w:sz="0" w:space="0" w:color="auto"/>
                <w:bottom w:val="none" w:sz="0" w:space="0" w:color="auto"/>
                <w:right w:val="none" w:sz="0" w:space="0" w:color="auto"/>
              </w:divBdr>
              <w:divsChild>
                <w:div w:id="748112210">
                  <w:marLeft w:val="0"/>
                  <w:marRight w:val="0"/>
                  <w:marTop w:val="0"/>
                  <w:marBottom w:val="0"/>
                  <w:divBdr>
                    <w:top w:val="none" w:sz="0" w:space="0" w:color="auto"/>
                    <w:left w:val="none" w:sz="0" w:space="0" w:color="auto"/>
                    <w:bottom w:val="none" w:sz="0" w:space="0" w:color="auto"/>
                    <w:right w:val="none" w:sz="0" w:space="0" w:color="auto"/>
                  </w:divBdr>
                  <w:divsChild>
                    <w:div w:id="1956595151">
                      <w:marLeft w:val="0"/>
                      <w:marRight w:val="0"/>
                      <w:marTop w:val="0"/>
                      <w:marBottom w:val="0"/>
                      <w:divBdr>
                        <w:top w:val="none" w:sz="0" w:space="0" w:color="auto"/>
                        <w:left w:val="none" w:sz="0" w:space="0" w:color="auto"/>
                        <w:bottom w:val="none" w:sz="0" w:space="0" w:color="auto"/>
                        <w:right w:val="none" w:sz="0" w:space="0" w:color="auto"/>
                      </w:divBdr>
                      <w:divsChild>
                        <w:div w:id="1821773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776640/" TargetMode="External"/><Relationship Id="rId13" Type="http://schemas.openxmlformats.org/officeDocument/2006/relationships/hyperlink" Target="http://www.hcsrn.org/en/" TargetMode="External"/><Relationship Id="rId3" Type="http://schemas.openxmlformats.org/officeDocument/2006/relationships/settings" Target="settings.xml"/><Relationship Id="rId7" Type="http://schemas.openxmlformats.org/officeDocument/2006/relationships/hyperlink" Target="https://www.ncbi.nlm.nih.gov/pubmed/27320786" TargetMode="External"/><Relationship Id="rId12" Type="http://schemas.openxmlformats.org/officeDocument/2006/relationships/hyperlink" Target="mailto:simon.g@gh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s.psychiatryonline.org/doi/abs/10.1176/appi.ps.201500217?url_ver=Z39.88-2003&amp;rfr_id=ori%3Arid%3Acrossref.org&amp;rfr_dat=cr_pub%3Dpubmed" TargetMode="External"/><Relationship Id="rId11" Type="http://schemas.openxmlformats.org/officeDocument/2006/relationships/hyperlink" Target="https://www.ncbi.nlm.nih.gov/pubmed/29423624" TargetMode="External"/><Relationship Id="rId5" Type="http://schemas.openxmlformats.org/officeDocument/2006/relationships/hyperlink" Target="mailto:Karen.J.Coleman@kp.org" TargetMode="External"/><Relationship Id="rId15" Type="http://schemas.openxmlformats.org/officeDocument/2006/relationships/theme" Target="theme/theme1.xml"/><Relationship Id="rId10" Type="http://schemas.openxmlformats.org/officeDocument/2006/relationships/hyperlink" Target="https://www.ncbi.nlm.nih.gov/pubmed/29095538" TargetMode="External"/><Relationship Id="rId4" Type="http://schemas.openxmlformats.org/officeDocument/2006/relationships/webSettings" Target="webSettings.xml"/><Relationship Id="rId9" Type="http://schemas.openxmlformats.org/officeDocument/2006/relationships/hyperlink" Target="https://www.ncbi.nlm.nih.gov/pmc/articles/PMC486659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Luce</dc:creator>
  <cp:keywords/>
  <dc:description/>
  <cp:lastModifiedBy>Casey Luce</cp:lastModifiedBy>
  <cp:revision>4</cp:revision>
  <dcterms:created xsi:type="dcterms:W3CDTF">2018-03-30T16:33:00Z</dcterms:created>
  <dcterms:modified xsi:type="dcterms:W3CDTF">2018-04-04T19:48:00Z</dcterms:modified>
</cp:coreProperties>
</file>