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221" w:rsidRPr="003C2221" w:rsidRDefault="003C2221" w:rsidP="003C2221">
      <w:pPr>
        <w:spacing w:before="100" w:beforeAutospacing="1" w:after="100" w:afterAutospacing="1" w:line="420" w:lineRule="atLeast"/>
        <w:outlineLvl w:val="1"/>
        <w:rPr>
          <w:rFonts w:ascii="Arial" w:eastAsia="Times New Roman" w:hAnsi="Arial" w:cs="Arial"/>
          <w:color w:val="0875BA"/>
          <w:sz w:val="39"/>
          <w:szCs w:val="39"/>
        </w:rPr>
      </w:pPr>
      <w:r w:rsidRPr="003C2221">
        <w:rPr>
          <w:rFonts w:ascii="Arial" w:eastAsia="Times New Roman" w:hAnsi="Arial" w:cs="Arial"/>
          <w:color w:val="0875BA"/>
          <w:sz w:val="39"/>
          <w:szCs w:val="39"/>
        </w:rPr>
        <w:t>Next Generation Assessment Using Mobile Devices</w:t>
      </w:r>
    </w:p>
    <w:tbl>
      <w:tblPr>
        <w:tblW w:w="9750" w:type="dxa"/>
        <w:tblCellMar>
          <w:top w:w="75" w:type="dxa"/>
          <w:left w:w="75" w:type="dxa"/>
          <w:bottom w:w="75" w:type="dxa"/>
          <w:right w:w="75" w:type="dxa"/>
        </w:tblCellMar>
        <w:tblLook w:val="04A0" w:firstRow="1" w:lastRow="0" w:firstColumn="1" w:lastColumn="0" w:noHBand="0" w:noVBand="1"/>
      </w:tblPr>
      <w:tblGrid>
        <w:gridCol w:w="9594"/>
        <w:gridCol w:w="156"/>
      </w:tblGrid>
      <w:tr w:rsidR="003C2221" w:rsidRPr="003C2221" w:rsidTr="003C2221">
        <w:tc>
          <w:tcPr>
            <w:tcW w:w="0" w:type="auto"/>
            <w:gridSpan w:val="2"/>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Project Name: </w:t>
            </w:r>
            <w:r w:rsidRPr="003C2221">
              <w:rPr>
                <w:rFonts w:ascii="Arial" w:eastAsia="Times New Roman" w:hAnsi="Arial" w:cs="Arial"/>
                <w:color w:val="000000"/>
                <w:sz w:val="18"/>
                <w:szCs w:val="18"/>
              </w:rPr>
              <w:br/>
              <w:t>Mobile Assessment Pilot: Next Generation Assessment Using Mobile Devices       </w:t>
            </w: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Principal Investigator:</w:t>
            </w:r>
            <w:r w:rsidRPr="003C2221">
              <w:rPr>
                <w:rFonts w:ascii="Arial" w:eastAsia="Times New Roman" w:hAnsi="Arial" w:cs="Arial"/>
                <w:color w:val="000000"/>
                <w:sz w:val="18"/>
                <w:szCs w:val="18"/>
              </w:rPr>
              <w:t xml:space="preserve"> </w:t>
            </w:r>
            <w:r w:rsidRPr="003C2221">
              <w:rPr>
                <w:rFonts w:ascii="Arial" w:eastAsia="Times New Roman" w:hAnsi="Arial" w:cs="Arial"/>
                <w:color w:val="000000"/>
                <w:sz w:val="18"/>
                <w:szCs w:val="18"/>
              </w:rPr>
              <w:br/>
              <w:t>Gregory Clarke, PhD</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Principal Investigator Contact Information:</w:t>
            </w:r>
            <w:r w:rsidRPr="003C2221">
              <w:rPr>
                <w:rFonts w:ascii="Arial" w:eastAsia="Times New Roman" w:hAnsi="Arial" w:cs="Arial"/>
                <w:color w:val="000000"/>
                <w:sz w:val="18"/>
                <w:szCs w:val="18"/>
              </w:rPr>
              <w:t xml:space="preserve">           </w:t>
            </w:r>
            <w:r w:rsidRPr="003C2221">
              <w:rPr>
                <w:rFonts w:ascii="Arial" w:eastAsia="Times New Roman" w:hAnsi="Arial" w:cs="Arial"/>
                <w:color w:val="000000"/>
                <w:sz w:val="18"/>
                <w:szCs w:val="18"/>
              </w:rPr>
              <w:br/>
            </w:r>
            <w:hyperlink r:id="rId4" w:tgtFrame="_top" w:history="1">
              <w:r w:rsidRPr="003C2221">
                <w:rPr>
                  <w:rFonts w:ascii="Arial" w:eastAsia="Times New Roman" w:hAnsi="Arial" w:cs="Arial"/>
                  <w:color w:val="0875BA"/>
                  <w:sz w:val="18"/>
                  <w:szCs w:val="18"/>
                </w:rPr>
                <w:t>Greg.Clarke@kpchr.org</w:t>
              </w:r>
            </w:hyperlink>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Principal Investigator institution:</w:t>
            </w:r>
            <w:r w:rsidRPr="003C2221">
              <w:rPr>
                <w:rFonts w:ascii="Arial" w:eastAsia="Times New Roman" w:hAnsi="Arial" w:cs="Arial"/>
                <w:color w:val="000000"/>
                <w:sz w:val="18"/>
                <w:szCs w:val="18"/>
              </w:rPr>
              <w:t xml:space="preserve"> </w:t>
            </w:r>
            <w:r w:rsidRPr="003C2221">
              <w:rPr>
                <w:rFonts w:ascii="Arial" w:eastAsia="Times New Roman" w:hAnsi="Arial" w:cs="Arial"/>
                <w:color w:val="000000"/>
                <w:sz w:val="18"/>
                <w:szCs w:val="18"/>
              </w:rPr>
              <w:br/>
              <w:t>Kaiser Permanente Northwest</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Funder:</w:t>
            </w:r>
            <w:r w:rsidRPr="003C2221">
              <w:rPr>
                <w:rFonts w:ascii="Arial" w:eastAsia="Times New Roman" w:hAnsi="Arial" w:cs="Arial"/>
                <w:color w:val="000000"/>
                <w:sz w:val="18"/>
                <w:szCs w:val="18"/>
              </w:rPr>
              <w:br/>
              <w:t>NIMH</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Funding Period: </w:t>
            </w:r>
            <w:r w:rsidRPr="003C2221">
              <w:rPr>
                <w:rFonts w:ascii="Arial" w:eastAsia="Times New Roman" w:hAnsi="Arial" w:cs="Arial"/>
                <w:color w:val="000000"/>
                <w:sz w:val="18"/>
                <w:szCs w:val="18"/>
              </w:rPr>
              <w:br/>
              <w:t>08/2014 – 07/2017</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Abstract: </w:t>
            </w:r>
            <w:r w:rsidRPr="003C2221">
              <w:rPr>
                <w:rFonts w:ascii="Arial" w:eastAsia="Times New Roman" w:hAnsi="Arial" w:cs="Arial"/>
                <w:color w:val="000000"/>
                <w:sz w:val="18"/>
                <w:szCs w:val="18"/>
              </w:rPr>
              <w:br/>
              <w:t xml:space="preserve">The constructs of cognitive control, emotional processing, attentional and negativity bias, physical and social engagement are specific and </w:t>
            </w:r>
            <w:proofErr w:type="spellStart"/>
            <w:r w:rsidRPr="003C2221">
              <w:rPr>
                <w:rFonts w:ascii="Arial" w:eastAsia="Times New Roman" w:hAnsi="Arial" w:cs="Arial"/>
                <w:color w:val="000000"/>
                <w:sz w:val="18"/>
                <w:szCs w:val="18"/>
              </w:rPr>
              <w:t>measureable</w:t>
            </w:r>
            <w:proofErr w:type="spellEnd"/>
            <w:r w:rsidRPr="003C2221">
              <w:rPr>
                <w:rFonts w:ascii="Arial" w:eastAsia="Times New Roman" w:hAnsi="Arial" w:cs="Arial"/>
                <w:color w:val="000000"/>
                <w:sz w:val="18"/>
                <w:szCs w:val="18"/>
              </w:rPr>
              <w:t xml:space="preserve"> characteristics that may aid in the selection of optional acute treatment for depression and anxiety.  Methods to assess these constructs either passively or with very low burden/cost have advanced significantly, such that they are now readily available through mobile devices such as smart phones, tablets and wearable sensors.  Given that over 120 million people in the US own a mobile devise, the practical utility of these assessment tools for compiling important clinical information is high, and the potential for data from these devised to inform clinical practice especially compelling.</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Grant Number</w:t>
            </w:r>
            <w:r w:rsidRPr="003C2221">
              <w:rPr>
                <w:rFonts w:ascii="Arial" w:eastAsia="Times New Roman" w:hAnsi="Arial" w:cs="Arial"/>
                <w:color w:val="000000"/>
                <w:sz w:val="18"/>
                <w:szCs w:val="18"/>
              </w:rPr>
              <w:t>:</w:t>
            </w:r>
            <w:r w:rsidRPr="003C2221">
              <w:rPr>
                <w:rFonts w:ascii="Arial" w:eastAsia="Times New Roman" w:hAnsi="Arial" w:cs="Arial"/>
                <w:color w:val="000000"/>
                <w:sz w:val="18"/>
                <w:szCs w:val="18"/>
              </w:rPr>
              <w:br/>
              <w:t>U19MH092201</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Participating Sites:                                        </w:t>
            </w:r>
            <w:r w:rsidRPr="003C2221">
              <w:rPr>
                <w:rFonts w:ascii="Arial" w:eastAsia="Times New Roman" w:hAnsi="Arial" w:cs="Arial"/>
                <w:color w:val="000000"/>
                <w:sz w:val="18"/>
                <w:szCs w:val="18"/>
              </w:rPr>
              <w:br/>
              <w:t>Kaiser Permanente Northwest, Portland, OR (Lead Site)</w:t>
            </w:r>
            <w:r w:rsidRPr="003C2221">
              <w:rPr>
                <w:rFonts w:ascii="Arial" w:eastAsia="Times New Roman" w:hAnsi="Arial" w:cs="Arial"/>
                <w:color w:val="000000"/>
                <w:sz w:val="18"/>
                <w:szCs w:val="18"/>
              </w:rPr>
              <w:br/>
              <w:t>University of Washington, Seattle, WA </w:t>
            </w:r>
            <w:r w:rsidRPr="003C2221">
              <w:rPr>
                <w:rFonts w:ascii="Arial" w:eastAsia="Times New Roman" w:hAnsi="Arial" w:cs="Arial"/>
                <w:color w:val="000000"/>
                <w:sz w:val="18"/>
                <w:szCs w:val="18"/>
              </w:rPr>
              <w:br/>
              <w:t>Kaiser Permanente Georgia, Atlanta, GA</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Investigators: </w:t>
            </w:r>
            <w:r w:rsidRPr="003C2221">
              <w:rPr>
                <w:rFonts w:ascii="Arial" w:eastAsia="Times New Roman" w:hAnsi="Arial" w:cs="Arial"/>
                <w:color w:val="000000"/>
                <w:sz w:val="18"/>
                <w:szCs w:val="18"/>
              </w:rPr>
              <w:br/>
              <w:t xml:space="preserve">Gregory Clarke, PhD </w:t>
            </w:r>
            <w:r w:rsidRPr="003C2221">
              <w:rPr>
                <w:rFonts w:ascii="Arial" w:eastAsia="Times New Roman" w:hAnsi="Arial" w:cs="Arial"/>
                <w:color w:val="000000"/>
                <w:sz w:val="18"/>
                <w:szCs w:val="18"/>
              </w:rPr>
              <w:br/>
              <w:t xml:space="preserve">Patricia </w:t>
            </w:r>
            <w:proofErr w:type="spellStart"/>
            <w:r w:rsidRPr="003C2221">
              <w:rPr>
                <w:rFonts w:ascii="Arial" w:eastAsia="Times New Roman" w:hAnsi="Arial" w:cs="Arial"/>
                <w:color w:val="000000"/>
                <w:sz w:val="18"/>
                <w:szCs w:val="18"/>
              </w:rPr>
              <w:t>Arean</w:t>
            </w:r>
            <w:proofErr w:type="spellEnd"/>
            <w:r w:rsidRPr="003C2221">
              <w:rPr>
                <w:rFonts w:ascii="Arial" w:eastAsia="Times New Roman" w:hAnsi="Arial" w:cs="Arial"/>
                <w:color w:val="000000"/>
                <w:sz w:val="18"/>
                <w:szCs w:val="18"/>
              </w:rPr>
              <w:t>, PhD</w:t>
            </w:r>
            <w:r w:rsidRPr="003C2221">
              <w:rPr>
                <w:rFonts w:ascii="Arial" w:eastAsia="Times New Roman" w:hAnsi="Arial" w:cs="Arial"/>
                <w:color w:val="000000"/>
                <w:sz w:val="18"/>
                <w:szCs w:val="18"/>
              </w:rPr>
              <w:br/>
              <w:t>Ashli Owen-Smith, PhD</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lastRenderedPageBreak/>
              <w:t>Major Goals:</w:t>
            </w:r>
            <w:r w:rsidRPr="003C2221">
              <w:rPr>
                <w:rFonts w:ascii="Arial" w:eastAsia="Times New Roman" w:hAnsi="Arial" w:cs="Arial"/>
                <w:color w:val="000000"/>
                <w:sz w:val="18"/>
                <w:szCs w:val="18"/>
              </w:rPr>
              <w:br/>
              <w:t>The purpose of this pilot project is to assess consumer engagement, predictive utility, and clinical applicability of mobile, IT-enabled assessment of cognitive, physical and social activity in patients seeking treatment for depression and anxiety.</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Description of study sample: </w:t>
            </w:r>
            <w:r w:rsidRPr="003C2221">
              <w:rPr>
                <w:rFonts w:ascii="Arial" w:eastAsia="Times New Roman" w:hAnsi="Arial" w:cs="Arial"/>
                <w:color w:val="000000"/>
                <w:sz w:val="18"/>
                <w:szCs w:val="18"/>
              </w:rPr>
              <w:br/>
              <w:t>We will recruit 75 members per performance site, for a total of 150 members. Members will be 18 and older, English-speaking, own a smart device (iOS operating system). We will recruit members who have had a recent dispense of an anti-depressant medication.</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proofErr w:type="gramStart"/>
            <w:r w:rsidRPr="003C2221">
              <w:rPr>
                <w:rFonts w:ascii="Arial" w:eastAsia="Times New Roman" w:hAnsi="Arial" w:cs="Arial"/>
                <w:b/>
                <w:bCs/>
                <w:color w:val="000000"/>
                <w:sz w:val="18"/>
                <w:szCs w:val="18"/>
              </w:rPr>
              <w:t>Current Status</w:t>
            </w:r>
            <w:proofErr w:type="gramEnd"/>
            <w:r w:rsidRPr="003C2221">
              <w:rPr>
                <w:rFonts w:ascii="Arial" w:eastAsia="Times New Roman" w:hAnsi="Arial" w:cs="Arial"/>
                <w:b/>
                <w:bCs/>
                <w:color w:val="000000"/>
                <w:sz w:val="18"/>
                <w:szCs w:val="18"/>
              </w:rPr>
              <w:t xml:space="preserve">: </w:t>
            </w:r>
            <w:r w:rsidRPr="003C2221">
              <w:rPr>
                <w:rFonts w:ascii="Arial" w:eastAsia="Times New Roman" w:hAnsi="Arial" w:cs="Arial"/>
                <w:b/>
                <w:bCs/>
                <w:color w:val="000000"/>
                <w:sz w:val="18"/>
                <w:szCs w:val="18"/>
              </w:rPr>
              <w:br/>
            </w:r>
            <w:r w:rsidRPr="003C2221">
              <w:rPr>
                <w:rFonts w:ascii="Arial" w:eastAsia="Times New Roman" w:hAnsi="Arial" w:cs="Arial"/>
                <w:color w:val="000000"/>
                <w:sz w:val="18"/>
                <w:szCs w:val="18"/>
              </w:rPr>
              <w:t>Enrollment is currently closed, and data collection is complete. We are currently summarizing data collected from qualitative interviews with providers and members to include in our analyses. We are also conducting quantitative analyses on the predictive utility of these mobile health apps.</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Study Registration: </w:t>
            </w:r>
            <w:r w:rsidRPr="003C2221">
              <w:rPr>
                <w:rFonts w:ascii="Arial" w:eastAsia="Times New Roman" w:hAnsi="Arial" w:cs="Arial"/>
                <w:color w:val="000000"/>
                <w:sz w:val="18"/>
                <w:szCs w:val="18"/>
              </w:rPr>
              <w:br/>
              <w:t>N/A</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Publications: </w:t>
            </w:r>
            <w:r w:rsidRPr="003C2221">
              <w:rPr>
                <w:rFonts w:ascii="Arial" w:eastAsia="Times New Roman" w:hAnsi="Arial" w:cs="Arial"/>
                <w:color w:val="000000"/>
                <w:sz w:val="18"/>
                <w:szCs w:val="18"/>
              </w:rPr>
              <w:br/>
              <w:t>N/A</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Resources </w:t>
            </w:r>
            <w:r w:rsidRPr="003C2221">
              <w:rPr>
                <w:rFonts w:ascii="Arial" w:eastAsia="Times New Roman" w:hAnsi="Arial" w:cs="Arial"/>
                <w:color w:val="000000"/>
                <w:sz w:val="18"/>
                <w:szCs w:val="18"/>
              </w:rPr>
              <w:br/>
              <w:t>N/A</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Lessons Learned: </w:t>
            </w:r>
            <w:r w:rsidRPr="003C2221">
              <w:rPr>
                <w:rFonts w:ascii="Arial" w:eastAsia="Times New Roman" w:hAnsi="Arial" w:cs="Arial"/>
                <w:color w:val="000000"/>
                <w:sz w:val="18"/>
                <w:szCs w:val="18"/>
              </w:rPr>
              <w:br/>
              <w:t>Recruitment was much more difficult than initially expected. We had an overall enrollment rate of approximately 3% between the two sites. Likewise, we had somewhat low engagement with participant usage of the study apps. We believe this is mostly due to the design of the study, where all recruitment and study activities are completed remotely and there is no direct contact with participants.</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r w:rsidR="003C2221" w:rsidRPr="003C2221" w:rsidTr="003C2221">
        <w:tc>
          <w:tcPr>
            <w:tcW w:w="0" w:type="auto"/>
            <w:vAlign w:val="center"/>
            <w:hideMark/>
          </w:tcPr>
          <w:p w:rsidR="003C2221" w:rsidRPr="003C2221" w:rsidRDefault="003C2221" w:rsidP="003C2221">
            <w:pPr>
              <w:spacing w:before="120" w:after="120" w:line="270" w:lineRule="atLeast"/>
              <w:rPr>
                <w:rFonts w:ascii="Arial" w:eastAsia="Times New Roman" w:hAnsi="Arial" w:cs="Arial"/>
                <w:color w:val="000000"/>
                <w:sz w:val="18"/>
                <w:szCs w:val="18"/>
              </w:rPr>
            </w:pPr>
            <w:r w:rsidRPr="003C2221">
              <w:rPr>
                <w:rFonts w:ascii="Arial" w:eastAsia="Times New Roman" w:hAnsi="Arial" w:cs="Arial"/>
                <w:b/>
                <w:bCs/>
                <w:color w:val="000000"/>
                <w:sz w:val="18"/>
                <w:szCs w:val="18"/>
              </w:rPr>
              <w:t xml:space="preserve">What’s next? </w:t>
            </w:r>
            <w:r w:rsidRPr="003C2221">
              <w:rPr>
                <w:rFonts w:ascii="Arial" w:eastAsia="Times New Roman" w:hAnsi="Arial" w:cs="Arial"/>
                <w:color w:val="000000"/>
                <w:sz w:val="18"/>
                <w:szCs w:val="18"/>
              </w:rPr>
              <w:br/>
              <w:t>We will finish conducting quantitative analyses on the predictive utility of these mobile health apps and summarize the responses from the qualitative interview data. We will begin drafting a manuscript with the results from these analyses.</w:t>
            </w:r>
          </w:p>
        </w:tc>
        <w:tc>
          <w:tcPr>
            <w:tcW w:w="0" w:type="auto"/>
            <w:vAlign w:val="center"/>
            <w:hideMark/>
          </w:tcPr>
          <w:p w:rsidR="003C2221" w:rsidRPr="003C2221" w:rsidRDefault="003C2221" w:rsidP="003C2221">
            <w:pPr>
              <w:spacing w:line="270" w:lineRule="atLeast"/>
              <w:rPr>
                <w:rFonts w:ascii="Times New Roman" w:eastAsia="Times New Roman" w:hAnsi="Times New Roman" w:cs="Times New Roman"/>
                <w:sz w:val="20"/>
                <w:szCs w:val="20"/>
              </w:rPr>
            </w:pPr>
          </w:p>
        </w:tc>
      </w:tr>
    </w:tbl>
    <w:p w:rsidR="003C2221" w:rsidRPr="003C2221" w:rsidRDefault="003C2221" w:rsidP="003C2221">
      <w:pPr>
        <w:spacing w:before="120" w:line="270" w:lineRule="atLeast"/>
        <w:rPr>
          <w:rFonts w:ascii="Arial" w:eastAsia="Times New Roman" w:hAnsi="Arial" w:cs="Arial"/>
          <w:color w:val="000000"/>
          <w:sz w:val="18"/>
          <w:szCs w:val="18"/>
        </w:rPr>
      </w:pPr>
      <w:r w:rsidRPr="003C2221">
        <w:rPr>
          <w:rFonts w:ascii="Arial" w:eastAsia="Times New Roman" w:hAnsi="Arial" w:cs="Arial"/>
          <w:color w:val="000000"/>
          <w:sz w:val="18"/>
          <w:szCs w:val="18"/>
        </w:rPr>
        <w:t> </w:t>
      </w:r>
    </w:p>
    <w:p w:rsidR="006E20BF" w:rsidRDefault="006E20BF">
      <w:bookmarkStart w:id="0" w:name="_GoBack"/>
      <w:bookmarkEnd w:id="0"/>
    </w:p>
    <w:sectPr w:rsidR="006E2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21"/>
    <w:rsid w:val="00335DF5"/>
    <w:rsid w:val="003C2221"/>
    <w:rsid w:val="006E20BF"/>
    <w:rsid w:val="007E4E31"/>
    <w:rsid w:val="00D120F0"/>
    <w:rsid w:val="00F4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4212A-4FF3-4671-8FED-C5348101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C2221"/>
    <w:pPr>
      <w:spacing w:before="100" w:beforeAutospacing="1" w:after="100" w:afterAutospacing="1" w:line="420" w:lineRule="atLeast"/>
      <w:outlineLvl w:val="1"/>
    </w:pPr>
    <w:rPr>
      <w:rFonts w:ascii="Times New Roman" w:eastAsia="Times New Roman" w:hAnsi="Times New Roman" w:cs="Times New Roman"/>
      <w:color w:val="0875BA"/>
      <w:sz w:val="39"/>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2221"/>
    <w:rPr>
      <w:rFonts w:ascii="Times New Roman" w:eastAsia="Times New Roman" w:hAnsi="Times New Roman" w:cs="Times New Roman"/>
      <w:color w:val="0875BA"/>
      <w:sz w:val="39"/>
      <w:szCs w:val="39"/>
    </w:rPr>
  </w:style>
  <w:style w:type="character" w:styleId="Hyperlink">
    <w:name w:val="Hyperlink"/>
    <w:basedOn w:val="DefaultParagraphFont"/>
    <w:uiPriority w:val="99"/>
    <w:semiHidden/>
    <w:unhideWhenUsed/>
    <w:rsid w:val="003C2221"/>
    <w:rPr>
      <w:strike w:val="0"/>
      <w:dstrike w:val="0"/>
      <w:color w:val="0875BA"/>
      <w:u w:val="none"/>
      <w:effect w:val="none"/>
    </w:rPr>
  </w:style>
  <w:style w:type="character" w:styleId="Strong">
    <w:name w:val="Strong"/>
    <w:basedOn w:val="DefaultParagraphFont"/>
    <w:uiPriority w:val="22"/>
    <w:qFormat/>
    <w:rsid w:val="003C22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1946">
      <w:bodyDiv w:val="1"/>
      <w:marLeft w:val="0"/>
      <w:marRight w:val="0"/>
      <w:marTop w:val="0"/>
      <w:marBottom w:val="0"/>
      <w:divBdr>
        <w:top w:val="none" w:sz="0" w:space="0" w:color="auto"/>
        <w:left w:val="none" w:sz="0" w:space="0" w:color="auto"/>
        <w:bottom w:val="none" w:sz="0" w:space="0" w:color="auto"/>
        <w:right w:val="none" w:sz="0" w:space="0" w:color="auto"/>
      </w:divBdr>
      <w:divsChild>
        <w:div w:id="679965364">
          <w:marLeft w:val="0"/>
          <w:marRight w:val="0"/>
          <w:marTop w:val="300"/>
          <w:marBottom w:val="300"/>
          <w:divBdr>
            <w:top w:val="none" w:sz="0" w:space="0" w:color="auto"/>
            <w:left w:val="none" w:sz="0" w:space="0" w:color="auto"/>
            <w:bottom w:val="none" w:sz="0" w:space="0" w:color="auto"/>
            <w:right w:val="none" w:sz="0" w:space="0" w:color="auto"/>
          </w:divBdr>
          <w:divsChild>
            <w:div w:id="481895901">
              <w:marLeft w:val="0"/>
              <w:marRight w:val="330"/>
              <w:marTop w:val="315"/>
              <w:marBottom w:val="0"/>
              <w:divBdr>
                <w:top w:val="none" w:sz="0" w:space="0" w:color="auto"/>
                <w:left w:val="none" w:sz="0" w:space="0" w:color="auto"/>
                <w:bottom w:val="none" w:sz="0" w:space="0" w:color="auto"/>
                <w:right w:val="none" w:sz="0" w:space="0" w:color="auto"/>
              </w:divBdr>
              <w:divsChild>
                <w:div w:id="1796370654">
                  <w:marLeft w:val="0"/>
                  <w:marRight w:val="0"/>
                  <w:marTop w:val="0"/>
                  <w:marBottom w:val="0"/>
                  <w:divBdr>
                    <w:top w:val="none" w:sz="0" w:space="0" w:color="auto"/>
                    <w:left w:val="none" w:sz="0" w:space="0" w:color="auto"/>
                    <w:bottom w:val="none" w:sz="0" w:space="0" w:color="auto"/>
                    <w:right w:val="none" w:sz="0" w:space="0" w:color="auto"/>
                  </w:divBdr>
                  <w:divsChild>
                    <w:div w:id="2068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reg.Clarke@kpch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Luce</dc:creator>
  <cp:keywords/>
  <dc:description/>
  <cp:lastModifiedBy>Casey Luce</cp:lastModifiedBy>
  <cp:revision>1</cp:revision>
  <dcterms:created xsi:type="dcterms:W3CDTF">2018-03-26T19:31:00Z</dcterms:created>
  <dcterms:modified xsi:type="dcterms:W3CDTF">2018-03-26T19:31:00Z</dcterms:modified>
</cp:coreProperties>
</file>