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color w:val="808080"/>
          <w:sz w:val="22"/>
          <w:szCs w:val="22"/>
        </w:rPr>
        <w:t xml:space="preserve">Expert survey — Round 1 of 2</w:t>
      </w:r>
    </w:p>
    <w:p>
      <w:pPr>
        <w:spacing w:after="200"/>
      </w:pPr>
      <w:r>
        <w:rPr>
          <w:rFonts w:ascii="Calibri" w:cs="Calibri" w:eastAsia="Calibri" w:hAnsi="Calibri"/>
          <w:b/>
          <w:bCs/>
          <w:color w:val="1F4E79"/>
          <w:sz w:val="34"/>
          <w:szCs w:val="34"/>
        </w:rPr>
        <w:t xml:space="preserve">Circular pathways for end-of-life photovoltaic modules in the European Union</w:t>
      </w:r>
    </w:p>
    <w:p>
      <w:pPr>
        <w:spacing w:after="120"/>
      </w:pPr>
      <w:r>
        <w:rPr>
          <w:rFonts w:ascii="Calibri" w:cs="Calibri" w:eastAsia="Calibri" w:hAnsi="Calibri"/>
          <w:i/>
          <w:iCs/>
          <w:color w:val="404040"/>
          <w:sz w:val="24"/>
          <w:szCs w:val="24"/>
        </w:rPr>
        <w:t xml:space="preserve">Institutional feasibility of end-of-life strategies across three time horizons</w:t>
      </w:r>
    </w:p>
    <w:p>
      <w:pPr>
        <w:pStyle w:val="Heading1"/>
        <w:spacing w:after="120" w:before="240"/>
      </w:pPr>
      <w:r>
        <w:rPr>
          <w:rFonts w:ascii="Calibri" w:cs="Calibri" w:eastAsia="Calibri" w:hAnsi="Calibri"/>
          <w:b/>
          <w:bCs/>
          <w:color w:val="1F4E79"/>
          <w:sz w:val="28"/>
          <w:szCs w:val="28"/>
        </w:rPr>
        <w:t xml:space="preserve">1. Purpose and how your answers will be used</w:t>
      </w:r>
    </w:p>
    <w:p>
      <w:pPr>
        <w:spacing w:after="120"/>
      </w:pPr>
      <w:r>
        <w:rPr>
          <w:rFonts w:ascii="Calibri" w:cs="Calibri" w:eastAsia="Calibri" w:hAnsi="Calibri"/>
          <w:sz w:val="21"/>
          <w:szCs w:val="21"/>
        </w:rPr>
        <w:t xml:space="preserve">This survey supports a research article prepared for the special issue “Embedding Circular Practices into Renewable and Sustainable Energy Production and Management” of Renewable and Sustainable Energy Reviews. The study projects the wave of end-of-life photovoltaic (PV) modules that EU member states will face between now and 2050 and asks which circular strategies should be activated, and when, in member states with different levels of circular-economy readiness.</w:t>
      </w:r>
    </w:p>
    <w:p>
      <w:pPr>
        <w:spacing w:after="120"/>
      </w:pPr>
      <w:r>
        <w:rPr>
          <w:rFonts w:ascii="Calibri" w:cs="Calibri" w:eastAsia="Calibri" w:hAnsi="Calibri"/>
          <w:sz w:val="21"/>
          <w:szCs w:val="21"/>
        </w:rPr>
        <w:t xml:space="preserve">Quantifiable aspects of each strategy (treatment cost, material recovery rates, avoided emissions, critical-raw-material recovery, employment) are taken from published life-cycle and techno-economic studies. Your judgement is needed only for the institutional aspects that no dataset captures: regulatory readiness, enforcement feasibility, actor and market readiness, and social acceptance.</w:t>
      </w:r>
    </w:p>
    <w:p>
      <w:pPr>
        <w:spacing w:after="120"/>
      </w:pPr>
      <w:r>
        <w:rPr>
          <w:rFonts w:ascii="Calibri" w:cs="Calibri" w:eastAsia="Calibri" w:hAnsi="Calibri"/>
          <w:sz w:val="21"/>
          <w:szCs w:val="21"/>
        </w:rPr>
        <w:t xml:space="preserve">The survey takes 20–30 minutes. Responses are anonymous; only an aggregate profile of the panel (roles, sectors, years of experience) is reported. Ratings are combined using a fuzzy consensus procedure; in Round 2 you will see the panel’s aggregated distribution for each item and may revise your rating. No individual response is identifiable in any output.</w:t>
      </w:r>
    </w:p>
    <w:p>
      <w:pPr>
        <w:pStyle w:val="Heading1"/>
        <w:spacing w:after="120" w:before="240"/>
      </w:pPr>
      <w:r>
        <w:rPr>
          <w:rFonts w:ascii="Calibri" w:cs="Calibri" w:eastAsia="Calibri" w:hAnsi="Calibri"/>
          <w:b/>
          <w:bCs/>
          <w:color w:val="1F4E79"/>
          <w:sz w:val="28"/>
          <w:szCs w:val="28"/>
        </w:rPr>
        <w:t xml:space="preserve">2. About you (no name required)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Item</w:t>
            </w:r>
          </w:p>
        </w:tc>
        <w:tc>
          <w:tcPr>
            <w:tcW w:type="dxa" w:w="57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Response</w:t>
            </w:r>
          </w:p>
        </w:tc>
      </w:tr>
      <w:tr>
        <w:tc>
          <w:tcPr>
            <w:tcW w:type="dxa" w:w="3600"/>
            <w:tcMar>
              <w:top w:type="dxa" w:w="60"/>
              <w:left w:type="dxa" w:w="80"/>
              <w:bottom w:type="dxa" w:w="60"/>
              <w:right w:type="dxa" w:w="80"/>
            </w:tcMar>
            <w:vAlign w:val="center"/>
          </w:tcPr>
          <w:p>
            <w:pPr>
              <w:jc w:val="left"/>
            </w:pPr>
            <w:r>
              <w:rPr>
                <w:rFonts w:ascii="Calibri" w:cs="Calibri" w:eastAsia="Calibri" w:hAnsi="Calibri"/>
                <w:sz w:val="17"/>
                <w:szCs w:val="17"/>
              </w:rPr>
              <w:t xml:space="preserve">Primary role</w:t>
            </w:r>
          </w:p>
        </w:tc>
        <w:tc>
          <w:tcPr>
            <w:tcW w:type="dxa" w:w="5700"/>
            <w:tcMar>
              <w:top w:type="dxa" w:w="60"/>
              <w:left w:type="dxa" w:w="80"/>
              <w:bottom w:type="dxa" w:w="60"/>
              <w:right w:type="dxa" w:w="80"/>
            </w:tcMar>
            <w:vAlign w:val="center"/>
          </w:tcPr>
          <w:p>
            <w:pPr>
              <w:jc w:val="left"/>
            </w:pPr>
            <w:r>
              <w:rPr>
                <w:rFonts w:ascii="Calibri" w:cs="Calibri" w:eastAsia="Calibri" w:hAnsi="Calibri"/>
                <w:sz w:val="17"/>
                <w:szCs w:val="17"/>
              </w:rPr>
              <w:t xml:space="preserve">☐ Policy / regulator   ☐ Producer-responsibility organisation   ☐ PV installer / EPC   ☐ Recycler / waste operator   ☐ Researcher   ☐ Other: ________</w:t>
            </w:r>
          </w:p>
        </w:tc>
      </w:tr>
      <w:tr>
        <w:tc>
          <w:tcPr>
            <w:tcW w:type="dxa" w:w="3600"/>
            <w:tcMar>
              <w:top w:type="dxa" w:w="60"/>
              <w:left w:type="dxa" w:w="80"/>
              <w:bottom w:type="dxa" w:w="60"/>
              <w:right w:type="dxa" w:w="80"/>
            </w:tcMar>
            <w:vAlign w:val="center"/>
          </w:tcPr>
          <w:p>
            <w:pPr>
              <w:jc w:val="left"/>
            </w:pPr>
            <w:r>
              <w:rPr>
                <w:rFonts w:ascii="Calibri" w:cs="Calibri" w:eastAsia="Calibri" w:hAnsi="Calibri"/>
                <w:sz w:val="17"/>
                <w:szCs w:val="17"/>
              </w:rPr>
              <w:t xml:space="preserve">Sector focus</w:t>
            </w:r>
          </w:p>
        </w:tc>
        <w:tc>
          <w:tcPr>
            <w:tcW w:type="dxa" w:w="5700"/>
            <w:tcMar>
              <w:top w:type="dxa" w:w="60"/>
              <w:left w:type="dxa" w:w="80"/>
              <w:bottom w:type="dxa" w:w="60"/>
              <w:right w:type="dxa" w:w="80"/>
            </w:tcMar>
            <w:vAlign w:val="center"/>
          </w:tcPr>
          <w:p>
            <w:pPr>
              <w:jc w:val="left"/>
            </w:pPr>
            <w:r>
              <w:rPr>
                <w:rFonts w:ascii="Calibri" w:cs="Calibri" w:eastAsia="Calibri" w:hAnsi="Calibri"/>
                <w:sz w:val="17"/>
                <w:szCs w:val="17"/>
              </w:rPr>
              <w:t xml:space="preserve">☐ PV manufacturing   ☐ PV deployment / O&amp;M   ☐ Waste &amp; recycling   ☐ Circular-economy policy   ☐ Other: ________</w:t>
            </w:r>
          </w:p>
        </w:tc>
      </w:tr>
      <w:tr>
        <w:tc>
          <w:tcPr>
            <w:tcW w:type="dxa" w:w="3600"/>
            <w:tcMar>
              <w:top w:type="dxa" w:w="60"/>
              <w:left w:type="dxa" w:w="80"/>
              <w:bottom w:type="dxa" w:w="60"/>
              <w:right w:type="dxa" w:w="80"/>
            </w:tcMar>
            <w:vAlign w:val="center"/>
          </w:tcPr>
          <w:p>
            <w:pPr>
              <w:jc w:val="left"/>
            </w:pPr>
            <w:r>
              <w:rPr>
                <w:rFonts w:ascii="Calibri" w:cs="Calibri" w:eastAsia="Calibri" w:hAnsi="Calibri"/>
                <w:sz w:val="17"/>
                <w:szCs w:val="17"/>
              </w:rPr>
              <w:t xml:space="preserve">Years of professional experience with PV or WEEE</w:t>
            </w:r>
          </w:p>
        </w:tc>
        <w:tc>
          <w:tcPr>
            <w:tcW w:type="dxa" w:w="5700"/>
            <w:tcMar>
              <w:top w:type="dxa" w:w="60"/>
              <w:left w:type="dxa" w:w="80"/>
              <w:bottom w:type="dxa" w:w="60"/>
              <w:right w:type="dxa" w:w="80"/>
            </w:tcMar>
            <w:vAlign w:val="center"/>
          </w:tcPr>
          <w:p>
            <w:pPr>
              <w:jc w:val="left"/>
            </w:pPr>
            <w:r>
              <w:rPr>
                <w:rFonts w:ascii="Calibri" w:cs="Calibri" w:eastAsia="Calibri" w:hAnsi="Calibri"/>
                <w:sz w:val="17"/>
                <w:szCs w:val="17"/>
              </w:rPr>
              <w:t xml:space="preserve">☐ &lt; 3   ☐ 3–7   ☐ 8–15   ☐ &gt; 15</w:t>
            </w:r>
          </w:p>
        </w:tc>
      </w:tr>
      <w:tr>
        <w:tc>
          <w:tcPr>
            <w:tcW w:type="dxa" w:w="3600"/>
            <w:tcMar>
              <w:top w:type="dxa" w:w="60"/>
              <w:left w:type="dxa" w:w="80"/>
              <w:bottom w:type="dxa" w:w="60"/>
              <w:right w:type="dxa" w:w="80"/>
            </w:tcMar>
            <w:vAlign w:val="center"/>
          </w:tcPr>
          <w:p>
            <w:pPr>
              <w:jc w:val="left"/>
            </w:pPr>
            <w:r>
              <w:rPr>
                <w:rFonts w:ascii="Calibri" w:cs="Calibri" w:eastAsia="Calibri" w:hAnsi="Calibri"/>
                <w:sz w:val="17"/>
                <w:szCs w:val="17"/>
              </w:rPr>
              <w:t xml:space="preserve">Member states you know best (up to three)</w:t>
            </w:r>
          </w:p>
        </w:tc>
        <w:tc>
          <w:tcPr>
            <w:tcW w:type="dxa" w:w="5700"/>
            <w:tcMar>
              <w:top w:type="dxa" w:w="60"/>
              <w:left w:type="dxa" w:w="80"/>
              <w:bottom w:type="dxa" w:w="60"/>
              <w:right w:type="dxa" w:w="80"/>
            </w:tcMar>
            <w:vAlign w:val="center"/>
          </w:tcPr>
          <w:p>
            <w:pPr>
              <w:jc w:val="left"/>
            </w:pPr>
            <w:r>
              <w:rPr>
                <w:rFonts w:ascii="Calibri" w:cs="Calibri" w:eastAsia="Calibri" w:hAnsi="Calibri"/>
                <w:sz w:val="17"/>
                <w:szCs w:val="17"/>
              </w:rPr>
              <w:t xml:space="preserve">________   ________   ________</w:t>
            </w:r>
          </w:p>
        </w:tc>
      </w:tr>
      <w:tr>
        <w:tc>
          <w:tcPr>
            <w:tcW w:type="dxa" w:w="3600"/>
            <w:tcMar>
              <w:top w:type="dxa" w:w="60"/>
              <w:left w:type="dxa" w:w="80"/>
              <w:bottom w:type="dxa" w:w="60"/>
              <w:right w:type="dxa" w:w="80"/>
            </w:tcMar>
            <w:vAlign w:val="center"/>
          </w:tcPr>
          <w:p>
            <w:pPr>
              <w:jc w:val="left"/>
            </w:pPr>
            <w:r>
              <w:rPr>
                <w:rFonts w:ascii="Calibri" w:cs="Calibri" w:eastAsia="Calibri" w:hAnsi="Calibri"/>
                <w:sz w:val="17"/>
                <w:szCs w:val="17"/>
              </w:rPr>
              <w:t xml:space="preserve">Self-assessed familiarity with PV end-of-life issues</w:t>
            </w:r>
          </w:p>
        </w:tc>
        <w:tc>
          <w:tcPr>
            <w:tcW w:type="dxa" w:w="5700"/>
            <w:tcMar>
              <w:top w:type="dxa" w:w="60"/>
              <w:left w:type="dxa" w:w="80"/>
              <w:bottom w:type="dxa" w:w="60"/>
              <w:right w:type="dxa" w:w="80"/>
            </w:tcMar>
            <w:vAlign w:val="center"/>
          </w:tcPr>
          <w:p>
            <w:pPr>
              <w:jc w:val="left"/>
            </w:pPr>
            <w:r>
              <w:rPr>
                <w:rFonts w:ascii="Calibri" w:cs="Calibri" w:eastAsia="Calibri" w:hAnsi="Calibri"/>
                <w:sz w:val="17"/>
                <w:szCs w:val="17"/>
              </w:rPr>
              <w:t xml:space="preserve">☐ Basic   ☐ Working knowledge   ☐ Expert</w:t>
            </w:r>
          </w:p>
        </w:tc>
      </w:tr>
    </w:tbl>
    <w:p>
      <w:pPr>
        <w:pStyle w:val="Heading1"/>
        <w:spacing w:after="120" w:before="240"/>
      </w:pPr>
      <w:r>
        <w:rPr>
          <w:rFonts w:ascii="Calibri" w:cs="Calibri" w:eastAsia="Calibri" w:hAnsi="Calibri"/>
          <w:b/>
          <w:bCs/>
          <w:color w:val="1F4E79"/>
          <w:sz w:val="28"/>
          <w:szCs w:val="28"/>
        </w:rPr>
        <w:t xml:space="preserve">3. Definitions used in this survey</w:t>
      </w:r>
    </w:p>
    <w:p>
      <w:pPr>
        <w:pStyle w:val="Heading2"/>
        <w:spacing w:after="120" w:before="240"/>
      </w:pPr>
      <w:r>
        <w:rPr>
          <w:rFonts w:ascii="Calibri" w:cs="Calibri" w:eastAsia="Calibri" w:hAnsi="Calibri"/>
          <w:b/>
          <w:bCs/>
          <w:color w:val="1F4E79"/>
          <w:sz w:val="24"/>
          <w:szCs w:val="24"/>
        </w:rPr>
        <w:t xml:space="preserve">3.1 End-of-life strategies (alternatives)</w:t>
      </w:r>
    </w:p>
    <w:p>
      <w:pPr>
        <w:spacing w:after="120"/>
      </w:pPr>
      <w:r>
        <w:rPr>
          <w:rFonts w:ascii="Calibri" w:cs="Calibri" w:eastAsia="Calibri" w:hAnsi="Calibri"/>
          <w:sz w:val="21"/>
          <w:szCs w:val="21"/>
        </w:rPr>
        <w:t xml:space="preserve">Each alternative is a distinct circular practice, mapped to the R-strategy ladder (R0 refuse … R9 recover). Please rate each alternative as a system-level pathway that a member state could prioritise, not as an individual 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700"/>
        <w:gridCol w:w="4100"/>
      </w:tblGrid>
      <w:tr>
        <w:trPr>
          <w:tblHeader/>
        </w:trPr>
        <w:tc>
          <w:tcPr>
            <w:tcW w:type="dxa" w:w="6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29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Alternative</w:t>
            </w:r>
          </w:p>
        </w:tc>
        <w:tc>
          <w:tcPr>
            <w:tcW w:type="dxa" w:w="17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R-strategy</w:t>
            </w:r>
          </w:p>
        </w:tc>
        <w:tc>
          <w:tcPr>
            <w:tcW w:type="dxa" w:w="41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Description</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A1</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Repair and refurbishment for domestic reuse</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R4 Repair / R5 Refurbish</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Tested, cleaned and re-certified modules re-deployed in the same or similar applications within the country.</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A2</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Cascaded second use (repowering with down-cycling of modules)</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R7 Repurpose</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Modules removed during repowering are re-used in lower-demand applications (e.g. off-grid, agrivoltaic, small C&amp;I).</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A3</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Export for second-life use outside the EU</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R7 Repurpose (external)</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Functional used modules exported under the WEEE/Basel used-equipment rules for reuse in third countries.</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A4</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Bulk mechanical recycling (glass, aluminium, copper)</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R8 Recycle (low value)</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Frame removal, shredding and separation; recovers bulk fractions, downcycled glass; silicon/silver largely lost.</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A5</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High-value recycling (delamination; silicon, silver and glass recovery)</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R8 Recycle (high value)</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Thermal/chemical delamination or advanced separation to recover solar-grade glass, silicon and silver.</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A6</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Formalised collection through SMEs and installer take-back networks</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R8/R9 enabling</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Producer-financed take-back at installer/distributor level with certified collection and pre-treatment.</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A7</w:t>
            </w:r>
          </w:p>
        </w:tc>
        <w:tc>
          <w:tcPr>
            <w:tcW w:type="dxa" w:w="2900"/>
            <w:tcMar>
              <w:top w:type="dxa" w:w="60"/>
              <w:left w:type="dxa" w:w="80"/>
              <w:bottom w:type="dxa" w:w="60"/>
              <w:right w:type="dxa" w:w="80"/>
            </w:tcMar>
            <w:vAlign w:val="center"/>
          </w:tcPr>
          <w:p>
            <w:pPr>
              <w:jc w:val="left"/>
            </w:pPr>
            <w:r>
              <w:rPr>
                <w:rFonts w:ascii="Calibri" w:cs="Calibri" w:eastAsia="Calibri" w:hAnsi="Calibri"/>
                <w:sz w:val="17"/>
                <w:szCs w:val="17"/>
              </w:rPr>
              <w:t xml:space="preserve">Landfill / incineration with energy recovery (baseline)</w:t>
            </w:r>
          </w:p>
        </w:tc>
        <w:tc>
          <w:tcPr>
            <w:tcW w:type="dxa" w:w="1700"/>
            <w:tcMar>
              <w:top w:type="dxa" w:w="60"/>
              <w:left w:type="dxa" w:w="80"/>
              <w:bottom w:type="dxa" w:w="60"/>
              <w:right w:type="dxa" w:w="80"/>
            </w:tcMar>
            <w:vAlign w:val="center"/>
          </w:tcPr>
          <w:p>
            <w:pPr>
              <w:jc w:val="left"/>
            </w:pPr>
            <w:r>
              <w:rPr>
                <w:rFonts w:ascii="Calibri" w:cs="Calibri" w:eastAsia="Calibri" w:hAnsi="Calibri"/>
                <w:sz w:val="17"/>
                <w:szCs w:val="17"/>
              </w:rPr>
              <w:t xml:space="preserve">R9 Recover / disposal</w:t>
            </w:r>
          </w:p>
        </w:tc>
        <w:tc>
          <w:tcPr>
            <w:tcW w:type="dxa" w:w="4100"/>
            <w:tcMar>
              <w:top w:type="dxa" w:w="60"/>
              <w:left w:type="dxa" w:w="80"/>
              <w:bottom w:type="dxa" w:w="60"/>
              <w:right w:type="dxa" w:w="80"/>
            </w:tcMar>
            <w:vAlign w:val="center"/>
          </w:tcPr>
          <w:p>
            <w:pPr>
              <w:jc w:val="left"/>
            </w:pPr>
            <w:r>
              <w:rPr>
                <w:rFonts w:ascii="Calibri" w:cs="Calibri" w:eastAsia="Calibri" w:hAnsi="Calibri"/>
                <w:sz w:val="17"/>
                <w:szCs w:val="17"/>
              </w:rPr>
              <w:t xml:space="preserve">Reference pathway: modules enter mixed WEEE or construction waste streams.</w:t>
            </w:r>
          </w:p>
        </w:tc>
      </w:tr>
    </w:tbl>
    <w:p>
      <w:pPr>
        <w:pStyle w:val="Heading2"/>
        <w:spacing w:after="120" w:before="240"/>
      </w:pPr>
      <w:r>
        <w:rPr>
          <w:rFonts w:ascii="Calibri" w:cs="Calibri" w:eastAsia="Calibri" w:hAnsi="Calibri"/>
          <w:b/>
          <w:bCs/>
          <w:color w:val="1F4E79"/>
          <w:sz w:val="24"/>
          <w:szCs w:val="24"/>
        </w:rPr>
        <w:t xml:space="preserve">3.2 Institutional criteria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00"/>
      </w:tblGrid>
      <w:tr>
        <w:trPr>
          <w:tblHeader/>
        </w:trPr>
        <w:tc>
          <w:tcPr>
            <w:tcW w:type="dxa" w:w="6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28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Criterion</w:t>
            </w:r>
          </w:p>
        </w:tc>
        <w:tc>
          <w:tcPr>
            <w:tcW w:type="dxa" w:w="59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What to consider</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C1</w:t>
            </w:r>
          </w:p>
        </w:tc>
        <w:tc>
          <w:tcPr>
            <w:tcW w:type="dxa" w:w="2800"/>
            <w:tcMar>
              <w:top w:type="dxa" w:w="60"/>
              <w:left w:type="dxa" w:w="80"/>
              <w:bottom w:type="dxa" w:w="60"/>
              <w:right w:type="dxa" w:w="80"/>
            </w:tcMar>
            <w:vAlign w:val="center"/>
          </w:tcPr>
          <w:p>
            <w:pPr>
              <w:jc w:val="left"/>
            </w:pPr>
            <w:r>
              <w:rPr>
                <w:rFonts w:ascii="Calibri" w:cs="Calibri" w:eastAsia="Calibri" w:hAnsi="Calibri"/>
                <w:sz w:val="17"/>
                <w:szCs w:val="17"/>
              </w:rPr>
              <w:t xml:space="preserve">Regulatory readiness</w:t>
            </w:r>
          </w:p>
        </w:tc>
        <w:tc>
          <w:tcPr>
            <w:tcW w:type="dxa" w:w="5900"/>
            <w:tcMar>
              <w:top w:type="dxa" w:w="60"/>
              <w:left w:type="dxa" w:w="80"/>
              <w:bottom w:type="dxa" w:w="60"/>
              <w:right w:type="dxa" w:w="80"/>
            </w:tcMar>
            <w:vAlign w:val="center"/>
          </w:tcPr>
          <w:p>
            <w:pPr>
              <w:jc w:val="left"/>
            </w:pPr>
            <w:r>
              <w:rPr>
                <w:rFonts w:ascii="Calibri" w:cs="Calibri" w:eastAsia="Calibri" w:hAnsi="Calibri"/>
                <w:sz w:val="17"/>
                <w:szCs w:val="17"/>
              </w:rPr>
              <w:t xml:space="preserve">Extent to which current EU/national rules (WEEE Directive, EPR schemes, product standards, waste-shipment rules) enable the pathway without new legislation.</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C2</w:t>
            </w:r>
          </w:p>
        </w:tc>
        <w:tc>
          <w:tcPr>
            <w:tcW w:type="dxa" w:w="2800"/>
            <w:tcMar>
              <w:top w:type="dxa" w:w="60"/>
              <w:left w:type="dxa" w:w="80"/>
              <w:bottom w:type="dxa" w:w="60"/>
              <w:right w:type="dxa" w:w="80"/>
            </w:tcMar>
            <w:vAlign w:val="center"/>
          </w:tcPr>
          <w:p>
            <w:pPr>
              <w:jc w:val="left"/>
            </w:pPr>
            <w:r>
              <w:rPr>
                <w:rFonts w:ascii="Calibri" w:cs="Calibri" w:eastAsia="Calibri" w:hAnsi="Calibri"/>
                <w:sz w:val="17"/>
                <w:szCs w:val="17"/>
              </w:rPr>
              <w:t xml:space="preserve">Enforcement and compliance feasibility</w:t>
            </w:r>
          </w:p>
        </w:tc>
        <w:tc>
          <w:tcPr>
            <w:tcW w:type="dxa" w:w="5900"/>
            <w:tcMar>
              <w:top w:type="dxa" w:w="60"/>
              <w:left w:type="dxa" w:w="80"/>
              <w:bottom w:type="dxa" w:w="60"/>
              <w:right w:type="dxa" w:w="80"/>
            </w:tcMar>
            <w:vAlign w:val="center"/>
          </w:tcPr>
          <w:p>
            <w:pPr>
              <w:jc w:val="left"/>
            </w:pPr>
            <w:r>
              <w:rPr>
                <w:rFonts w:ascii="Calibri" w:cs="Calibri" w:eastAsia="Calibri" w:hAnsi="Calibri"/>
                <w:sz w:val="17"/>
                <w:szCs w:val="17"/>
              </w:rPr>
              <w:t xml:space="preserve">Practicality of monitoring, certification and preventing leakage (e.g. illegal export, informal dismantling).</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C3</w:t>
            </w:r>
          </w:p>
        </w:tc>
        <w:tc>
          <w:tcPr>
            <w:tcW w:type="dxa" w:w="2800"/>
            <w:tcMar>
              <w:top w:type="dxa" w:w="60"/>
              <w:left w:type="dxa" w:w="80"/>
              <w:bottom w:type="dxa" w:w="60"/>
              <w:right w:type="dxa" w:w="80"/>
            </w:tcMar>
            <w:vAlign w:val="center"/>
          </w:tcPr>
          <w:p>
            <w:pPr>
              <w:jc w:val="left"/>
            </w:pPr>
            <w:r>
              <w:rPr>
                <w:rFonts w:ascii="Calibri" w:cs="Calibri" w:eastAsia="Calibri" w:hAnsi="Calibri"/>
                <w:sz w:val="17"/>
                <w:szCs w:val="17"/>
              </w:rPr>
              <w:t xml:space="preserve">Actor and market readiness</w:t>
            </w:r>
          </w:p>
        </w:tc>
        <w:tc>
          <w:tcPr>
            <w:tcW w:type="dxa" w:w="5900"/>
            <w:tcMar>
              <w:top w:type="dxa" w:w="60"/>
              <w:left w:type="dxa" w:w="80"/>
              <w:bottom w:type="dxa" w:w="60"/>
              <w:right w:type="dxa" w:w="80"/>
            </w:tcMar>
            <w:vAlign w:val="center"/>
          </w:tcPr>
          <w:p>
            <w:pPr>
              <w:jc w:val="left"/>
            </w:pPr>
            <w:r>
              <w:rPr>
                <w:rFonts w:ascii="Calibri" w:cs="Calibri" w:eastAsia="Calibri" w:hAnsi="Calibri"/>
                <w:sz w:val="17"/>
                <w:szCs w:val="17"/>
              </w:rPr>
              <w:t xml:space="preserve">Availability of the actors, capacity and business cases needed (installers, recyclers, refurbishers, secondary-material buyers).</w:t>
            </w:r>
          </w:p>
        </w:tc>
      </w:tr>
      <w:tr>
        <w:tc>
          <w:tcPr>
            <w:tcW w:type="dxa" w:w="600"/>
            <w:tcMar>
              <w:top w:type="dxa" w:w="60"/>
              <w:left w:type="dxa" w:w="80"/>
              <w:bottom w:type="dxa" w:w="60"/>
              <w:right w:type="dxa" w:w="80"/>
            </w:tcMar>
            <w:vAlign w:val="center"/>
          </w:tcPr>
          <w:p>
            <w:pPr>
              <w:jc w:val="left"/>
            </w:pPr>
            <w:r>
              <w:rPr>
                <w:rFonts w:ascii="Calibri" w:cs="Calibri" w:eastAsia="Calibri" w:hAnsi="Calibri"/>
                <w:sz w:val="17"/>
                <w:szCs w:val="17"/>
              </w:rPr>
              <w:t xml:space="preserve">C4</w:t>
            </w:r>
          </w:p>
        </w:tc>
        <w:tc>
          <w:tcPr>
            <w:tcW w:type="dxa" w:w="2800"/>
            <w:tcMar>
              <w:top w:type="dxa" w:w="60"/>
              <w:left w:type="dxa" w:w="80"/>
              <w:bottom w:type="dxa" w:w="60"/>
              <w:right w:type="dxa" w:w="80"/>
            </w:tcMar>
            <w:vAlign w:val="center"/>
          </w:tcPr>
          <w:p>
            <w:pPr>
              <w:jc w:val="left"/>
            </w:pPr>
            <w:r>
              <w:rPr>
                <w:rFonts w:ascii="Calibri" w:cs="Calibri" w:eastAsia="Calibri" w:hAnsi="Calibri"/>
                <w:sz w:val="17"/>
                <w:szCs w:val="17"/>
              </w:rPr>
              <w:t xml:space="preserve">Social acceptance and public support</w:t>
            </w:r>
          </w:p>
        </w:tc>
        <w:tc>
          <w:tcPr>
            <w:tcW w:type="dxa" w:w="5900"/>
            <w:tcMar>
              <w:top w:type="dxa" w:w="60"/>
              <w:left w:type="dxa" w:w="80"/>
              <w:bottom w:type="dxa" w:w="60"/>
              <w:right w:type="dxa" w:w="80"/>
            </w:tcMar>
            <w:vAlign w:val="center"/>
          </w:tcPr>
          <w:p>
            <w:pPr>
              <w:jc w:val="left"/>
            </w:pPr>
            <w:r>
              <w:rPr>
                <w:rFonts w:ascii="Calibri" w:cs="Calibri" w:eastAsia="Calibri" w:hAnsi="Calibri"/>
                <w:sz w:val="17"/>
                <w:szCs w:val="17"/>
              </w:rPr>
              <w:t xml:space="preserve">Acceptability to consumers, installers and local communities; willingness to hand over or purchase used/recycled modules.</w:t>
            </w:r>
          </w:p>
        </w:tc>
      </w:tr>
    </w:tbl>
    <w:p>
      <w:pPr>
        <w:pStyle w:val="Heading2"/>
        <w:spacing w:after="120" w:before="240"/>
      </w:pPr>
      <w:r>
        <w:rPr>
          <w:rFonts w:ascii="Calibri" w:cs="Calibri" w:eastAsia="Calibri" w:hAnsi="Calibri"/>
          <w:b/>
          <w:bCs/>
          <w:color w:val="1F4E79"/>
          <w:sz w:val="24"/>
          <w:szCs w:val="24"/>
        </w:rPr>
        <w:t xml:space="preserve">3.3 Time horizons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00"/>
      </w:tblGrid>
      <w:tr>
        <w:trPr>
          <w:tblHeader/>
        </w:trPr>
        <w:tc>
          <w:tcPr>
            <w:tcW w:type="dxa" w:w="7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18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Horizon</w:t>
            </w:r>
          </w:p>
        </w:tc>
        <w:tc>
          <w:tcPr>
            <w:tcW w:type="dxa" w:w="68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Context</w:t>
            </w:r>
          </w:p>
        </w:tc>
      </w:tr>
      <w:tr>
        <w:tc>
          <w:tcPr>
            <w:tcW w:type="dxa" w:w="700"/>
            <w:tcMar>
              <w:top w:type="dxa" w:w="60"/>
              <w:left w:type="dxa" w:w="80"/>
              <w:bottom w:type="dxa" w:w="60"/>
              <w:right w:type="dxa" w:w="80"/>
            </w:tcMar>
            <w:vAlign w:val="center"/>
          </w:tcPr>
          <w:p>
            <w:pPr>
              <w:jc w:val="left"/>
            </w:pPr>
            <w:r>
              <w:rPr>
                <w:rFonts w:ascii="Calibri" w:cs="Calibri" w:eastAsia="Calibri" w:hAnsi="Calibri"/>
                <w:sz w:val="17"/>
                <w:szCs w:val="17"/>
              </w:rPr>
              <w:t xml:space="preserve">H1</w:t>
            </w:r>
          </w:p>
        </w:tc>
        <w:tc>
          <w:tcPr>
            <w:tcW w:type="dxa" w:w="1800"/>
            <w:tcMar>
              <w:top w:type="dxa" w:w="60"/>
              <w:left w:type="dxa" w:w="80"/>
              <w:bottom w:type="dxa" w:w="60"/>
              <w:right w:type="dxa" w:w="80"/>
            </w:tcMar>
            <w:vAlign w:val="center"/>
          </w:tcPr>
          <w:p>
            <w:pPr>
              <w:jc w:val="left"/>
            </w:pPr>
            <w:r>
              <w:rPr>
                <w:rFonts w:ascii="Calibri" w:cs="Calibri" w:eastAsia="Calibri" w:hAnsi="Calibri"/>
                <w:sz w:val="17"/>
                <w:szCs w:val="17"/>
              </w:rPr>
              <w:t xml:space="preserve">2026–2030</w:t>
            </w:r>
          </w:p>
        </w:tc>
        <w:tc>
          <w:tcPr>
            <w:tcW w:type="dxa" w:w="6800"/>
            <w:tcMar>
              <w:top w:type="dxa" w:w="60"/>
              <w:left w:type="dxa" w:w="80"/>
              <w:bottom w:type="dxa" w:w="60"/>
              <w:right w:type="dxa" w:w="80"/>
            </w:tcMar>
            <w:vAlign w:val="center"/>
          </w:tcPr>
          <w:p>
            <w:pPr>
              <w:jc w:val="left"/>
            </w:pPr>
            <w:r>
              <w:rPr>
                <w:rFonts w:ascii="Calibri" w:cs="Calibri" w:eastAsia="Calibri" w:hAnsi="Calibri"/>
                <w:sz w:val="17"/>
                <w:szCs w:val="17"/>
              </w:rPr>
              <w:t xml:space="preserve">early wave: first decommissioning of 2008–2013 installations</w:t>
            </w:r>
          </w:p>
        </w:tc>
      </w:tr>
      <w:tr>
        <w:tc>
          <w:tcPr>
            <w:tcW w:type="dxa" w:w="700"/>
            <w:tcMar>
              <w:top w:type="dxa" w:w="60"/>
              <w:left w:type="dxa" w:w="80"/>
              <w:bottom w:type="dxa" w:w="60"/>
              <w:right w:type="dxa" w:w="80"/>
            </w:tcMar>
            <w:vAlign w:val="center"/>
          </w:tcPr>
          <w:p>
            <w:pPr>
              <w:jc w:val="left"/>
            </w:pPr>
            <w:r>
              <w:rPr>
                <w:rFonts w:ascii="Calibri" w:cs="Calibri" w:eastAsia="Calibri" w:hAnsi="Calibri"/>
                <w:sz w:val="17"/>
                <w:szCs w:val="17"/>
              </w:rPr>
              <w:t xml:space="preserve">H2</w:t>
            </w:r>
          </w:p>
        </w:tc>
        <w:tc>
          <w:tcPr>
            <w:tcW w:type="dxa" w:w="1800"/>
            <w:tcMar>
              <w:top w:type="dxa" w:w="60"/>
              <w:left w:type="dxa" w:w="80"/>
              <w:bottom w:type="dxa" w:w="60"/>
              <w:right w:type="dxa" w:w="80"/>
            </w:tcMar>
            <w:vAlign w:val="center"/>
          </w:tcPr>
          <w:p>
            <w:pPr>
              <w:jc w:val="left"/>
            </w:pPr>
            <w:r>
              <w:rPr>
                <w:rFonts w:ascii="Calibri" w:cs="Calibri" w:eastAsia="Calibri" w:hAnsi="Calibri"/>
                <w:sz w:val="17"/>
                <w:szCs w:val="17"/>
              </w:rPr>
              <w:t xml:space="preserve">2031–2040</w:t>
            </w:r>
          </w:p>
        </w:tc>
        <w:tc>
          <w:tcPr>
            <w:tcW w:type="dxa" w:w="6800"/>
            <w:tcMar>
              <w:top w:type="dxa" w:w="60"/>
              <w:left w:type="dxa" w:w="80"/>
              <w:bottom w:type="dxa" w:w="60"/>
              <w:right w:type="dxa" w:w="80"/>
            </w:tcMar>
            <w:vAlign w:val="center"/>
          </w:tcPr>
          <w:p>
            <w:pPr>
              <w:jc w:val="left"/>
            </w:pPr>
            <w:r>
              <w:rPr>
                <w:rFonts w:ascii="Calibri" w:cs="Calibri" w:eastAsia="Calibri" w:hAnsi="Calibri"/>
                <w:sz w:val="17"/>
                <w:szCs w:val="17"/>
              </w:rPr>
              <w:t xml:space="preserve">peak wave: bulk of the feed-in-tariff cohort reaches end of life</w:t>
            </w:r>
          </w:p>
        </w:tc>
      </w:tr>
      <w:tr>
        <w:tc>
          <w:tcPr>
            <w:tcW w:type="dxa" w:w="700"/>
            <w:tcMar>
              <w:top w:type="dxa" w:w="60"/>
              <w:left w:type="dxa" w:w="80"/>
              <w:bottom w:type="dxa" w:w="60"/>
              <w:right w:type="dxa" w:w="80"/>
            </w:tcMar>
            <w:vAlign w:val="center"/>
          </w:tcPr>
          <w:p>
            <w:pPr>
              <w:jc w:val="left"/>
            </w:pPr>
            <w:r>
              <w:rPr>
                <w:rFonts w:ascii="Calibri" w:cs="Calibri" w:eastAsia="Calibri" w:hAnsi="Calibri"/>
                <w:sz w:val="17"/>
                <w:szCs w:val="17"/>
              </w:rPr>
              <w:t xml:space="preserve">H3</w:t>
            </w:r>
          </w:p>
        </w:tc>
        <w:tc>
          <w:tcPr>
            <w:tcW w:type="dxa" w:w="1800"/>
            <w:tcMar>
              <w:top w:type="dxa" w:w="60"/>
              <w:left w:type="dxa" w:w="80"/>
              <w:bottom w:type="dxa" w:w="60"/>
              <w:right w:type="dxa" w:w="80"/>
            </w:tcMar>
            <w:vAlign w:val="center"/>
          </w:tcPr>
          <w:p>
            <w:pPr>
              <w:jc w:val="left"/>
            </w:pPr>
            <w:r>
              <w:rPr>
                <w:rFonts w:ascii="Calibri" w:cs="Calibri" w:eastAsia="Calibri" w:hAnsi="Calibri"/>
                <w:sz w:val="17"/>
                <w:szCs w:val="17"/>
              </w:rPr>
              <w:t xml:space="preserve">2041–2050</w:t>
            </w:r>
          </w:p>
        </w:tc>
        <w:tc>
          <w:tcPr>
            <w:tcW w:type="dxa" w:w="6800"/>
            <w:tcMar>
              <w:top w:type="dxa" w:w="60"/>
              <w:left w:type="dxa" w:w="80"/>
              <w:bottom w:type="dxa" w:w="60"/>
              <w:right w:type="dxa" w:w="80"/>
            </w:tcMar>
            <w:vAlign w:val="center"/>
          </w:tcPr>
          <w:p>
            <w:pPr>
              <w:jc w:val="left"/>
            </w:pPr>
            <w:r>
              <w:rPr>
                <w:rFonts w:ascii="Calibri" w:cs="Calibri" w:eastAsia="Calibri" w:hAnsi="Calibri"/>
                <w:sz w:val="17"/>
                <w:szCs w:val="17"/>
              </w:rPr>
              <w:t xml:space="preserve">mature phase: steady-state flows, second-generation modules</w:t>
            </w:r>
          </w:p>
        </w:tc>
      </w:tr>
    </w:tbl>
    <w:p>
      <w:pPr>
        <w:pStyle w:val="Heading2"/>
        <w:spacing w:after="120" w:before="240"/>
      </w:pPr>
      <w:r>
        <w:rPr>
          <w:rFonts w:ascii="Calibri" w:cs="Calibri" w:eastAsia="Calibri" w:hAnsi="Calibri"/>
          <w:b/>
          <w:bCs/>
          <w:color w:val="1F4E79"/>
          <w:sz w:val="24"/>
          <w:szCs w:val="24"/>
        </w:rPr>
        <w:t xml:space="preserve">3.4 Rating scale</w:t>
      </w:r>
    </w:p>
    <w:p>
      <w:pPr>
        <w:spacing w:after="120"/>
      </w:pPr>
      <w:r>
        <w:rPr>
          <w:rFonts w:ascii="Calibri" w:cs="Calibri" w:eastAsia="Calibri" w:hAnsi="Calibri"/>
          <w:sz w:val="21"/>
          <w:szCs w:val="21"/>
        </w:rPr>
        <w:t xml:space="preserve">Please circle or mark one level per cell. The scale is deliberately coarse; use VL/VH only where you are confident. For analysis, each level is converted to a triangular fuzzy number (shown for transparency; you do not need to use the numbers).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tblGrid>
      <w:tr>
        <w:trPr>
          <w:tblHeader/>
        </w:trPr>
        <w:tc>
          <w:tcPr>
            <w:tcW w:type="dxa" w:w="9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Code</w:t>
            </w:r>
          </w:p>
        </w:tc>
        <w:tc>
          <w:tcPr>
            <w:tcW w:type="dxa" w:w="24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Meaning</w:t>
            </w:r>
          </w:p>
        </w:tc>
        <w:tc>
          <w:tcPr>
            <w:tcW w:type="dxa" w:w="30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Fuzzy number (l, m, u)</w:t>
            </w:r>
          </w:p>
        </w:tc>
      </w:tr>
      <w:tr>
        <w:tc>
          <w:tcPr>
            <w:tcW w:type="dxa" w:w="900"/>
            <w:tcMar>
              <w:top w:type="dxa" w:w="60"/>
              <w:left w:type="dxa" w:w="80"/>
              <w:bottom w:type="dxa" w:w="60"/>
              <w:right w:type="dxa" w:w="80"/>
            </w:tcMar>
            <w:vAlign w:val="center"/>
          </w:tcPr>
          <w:p>
            <w:pPr>
              <w:jc w:val="left"/>
            </w:pPr>
            <w:r>
              <w:rPr>
                <w:rFonts w:ascii="Calibri" w:cs="Calibri" w:eastAsia="Calibri" w:hAnsi="Calibri"/>
                <w:sz w:val="17"/>
                <w:szCs w:val="17"/>
              </w:rPr>
              <w:t xml:space="preserve">VL</w:t>
            </w:r>
          </w:p>
        </w:tc>
        <w:tc>
          <w:tcPr>
            <w:tcW w:type="dxa" w:w="2400"/>
            <w:tcMar>
              <w:top w:type="dxa" w:w="60"/>
              <w:left w:type="dxa" w:w="80"/>
              <w:bottom w:type="dxa" w:w="60"/>
              <w:right w:type="dxa" w:w="80"/>
            </w:tcMar>
            <w:vAlign w:val="center"/>
          </w:tcPr>
          <w:p>
            <w:pPr>
              <w:jc w:val="left"/>
            </w:pPr>
            <w:r>
              <w:rPr>
                <w:rFonts w:ascii="Calibri" w:cs="Calibri" w:eastAsia="Calibri" w:hAnsi="Calibri"/>
                <w:sz w:val="17"/>
                <w:szCs w:val="17"/>
              </w:rPr>
              <w:t xml:space="preserve">Very low</w:t>
            </w:r>
          </w:p>
        </w:tc>
        <w:tc>
          <w:tcPr>
            <w:tcW w:type="dxa" w:w="3000"/>
            <w:tcMar>
              <w:top w:type="dxa" w:w="60"/>
              <w:left w:type="dxa" w:w="80"/>
              <w:bottom w:type="dxa" w:w="60"/>
              <w:right w:type="dxa" w:w="80"/>
            </w:tcMar>
            <w:vAlign w:val="center"/>
          </w:tcPr>
          <w:p>
            <w:pPr>
              <w:jc w:val="left"/>
            </w:pPr>
            <w:r>
              <w:rPr>
                <w:rFonts w:ascii="Calibri" w:cs="Calibri" w:eastAsia="Calibri" w:hAnsi="Calibri"/>
                <w:sz w:val="17"/>
                <w:szCs w:val="17"/>
              </w:rPr>
              <w:t xml:space="preserve">(0, 0, 0.25)</w:t>
            </w:r>
          </w:p>
        </w:tc>
      </w:tr>
      <w:tr>
        <w:tc>
          <w:tcPr>
            <w:tcW w:type="dxa" w:w="900"/>
            <w:tcMar>
              <w:top w:type="dxa" w:w="60"/>
              <w:left w:type="dxa" w:w="80"/>
              <w:bottom w:type="dxa" w:w="60"/>
              <w:right w:type="dxa" w:w="80"/>
            </w:tcMar>
            <w:vAlign w:val="center"/>
          </w:tcPr>
          <w:p>
            <w:pPr>
              <w:jc w:val="left"/>
            </w:pPr>
            <w:r>
              <w:rPr>
                <w:rFonts w:ascii="Calibri" w:cs="Calibri" w:eastAsia="Calibri" w:hAnsi="Calibri"/>
                <w:sz w:val="17"/>
                <w:szCs w:val="17"/>
              </w:rPr>
              <w:t xml:space="preserve">L</w:t>
            </w:r>
          </w:p>
        </w:tc>
        <w:tc>
          <w:tcPr>
            <w:tcW w:type="dxa" w:w="2400"/>
            <w:tcMar>
              <w:top w:type="dxa" w:w="60"/>
              <w:left w:type="dxa" w:w="80"/>
              <w:bottom w:type="dxa" w:w="60"/>
              <w:right w:type="dxa" w:w="80"/>
            </w:tcMar>
            <w:vAlign w:val="center"/>
          </w:tcPr>
          <w:p>
            <w:pPr>
              <w:jc w:val="left"/>
            </w:pPr>
            <w:r>
              <w:rPr>
                <w:rFonts w:ascii="Calibri" w:cs="Calibri" w:eastAsia="Calibri" w:hAnsi="Calibri"/>
                <w:sz w:val="17"/>
                <w:szCs w:val="17"/>
              </w:rPr>
              <w:t xml:space="preserve">Low</w:t>
            </w:r>
          </w:p>
        </w:tc>
        <w:tc>
          <w:tcPr>
            <w:tcW w:type="dxa" w:w="3000"/>
            <w:tcMar>
              <w:top w:type="dxa" w:w="60"/>
              <w:left w:type="dxa" w:w="80"/>
              <w:bottom w:type="dxa" w:w="60"/>
              <w:right w:type="dxa" w:w="80"/>
            </w:tcMar>
            <w:vAlign w:val="center"/>
          </w:tcPr>
          <w:p>
            <w:pPr>
              <w:jc w:val="left"/>
            </w:pPr>
            <w:r>
              <w:rPr>
                <w:rFonts w:ascii="Calibri" w:cs="Calibri" w:eastAsia="Calibri" w:hAnsi="Calibri"/>
                <w:sz w:val="17"/>
                <w:szCs w:val="17"/>
              </w:rPr>
              <w:t xml:space="preserve">(0, 0.25, 0.50)</w:t>
            </w:r>
          </w:p>
        </w:tc>
      </w:tr>
      <w:tr>
        <w:tc>
          <w:tcPr>
            <w:tcW w:type="dxa" w:w="900"/>
            <w:tcMar>
              <w:top w:type="dxa" w:w="60"/>
              <w:left w:type="dxa" w:w="80"/>
              <w:bottom w:type="dxa" w:w="60"/>
              <w:right w:type="dxa" w:w="80"/>
            </w:tcMar>
            <w:vAlign w:val="center"/>
          </w:tcPr>
          <w:p>
            <w:pPr>
              <w:jc w:val="left"/>
            </w:pPr>
            <w:r>
              <w:rPr>
                <w:rFonts w:ascii="Calibri" w:cs="Calibri" w:eastAsia="Calibri" w:hAnsi="Calibri"/>
                <w:sz w:val="17"/>
                <w:szCs w:val="17"/>
              </w:rPr>
              <w:t xml:space="preserve">M</w:t>
            </w:r>
          </w:p>
        </w:tc>
        <w:tc>
          <w:tcPr>
            <w:tcW w:type="dxa" w:w="2400"/>
            <w:tcMar>
              <w:top w:type="dxa" w:w="60"/>
              <w:left w:type="dxa" w:w="80"/>
              <w:bottom w:type="dxa" w:w="60"/>
              <w:right w:type="dxa" w:w="80"/>
            </w:tcMar>
            <w:vAlign w:val="center"/>
          </w:tcPr>
          <w:p>
            <w:pPr>
              <w:jc w:val="left"/>
            </w:pPr>
            <w:r>
              <w:rPr>
                <w:rFonts w:ascii="Calibri" w:cs="Calibri" w:eastAsia="Calibri" w:hAnsi="Calibri"/>
                <w:sz w:val="17"/>
                <w:szCs w:val="17"/>
              </w:rPr>
              <w:t xml:space="preserve">Medium</w:t>
            </w:r>
          </w:p>
        </w:tc>
        <w:tc>
          <w:tcPr>
            <w:tcW w:type="dxa" w:w="3000"/>
            <w:tcMar>
              <w:top w:type="dxa" w:w="60"/>
              <w:left w:type="dxa" w:w="80"/>
              <w:bottom w:type="dxa" w:w="60"/>
              <w:right w:type="dxa" w:w="80"/>
            </w:tcMar>
            <w:vAlign w:val="center"/>
          </w:tcPr>
          <w:p>
            <w:pPr>
              <w:jc w:val="left"/>
            </w:pPr>
            <w:r>
              <w:rPr>
                <w:rFonts w:ascii="Calibri" w:cs="Calibri" w:eastAsia="Calibri" w:hAnsi="Calibri"/>
                <w:sz w:val="17"/>
                <w:szCs w:val="17"/>
              </w:rPr>
              <w:t xml:space="preserve">(0.25, 0.50, 0.75)</w:t>
            </w:r>
          </w:p>
        </w:tc>
      </w:tr>
      <w:tr>
        <w:tc>
          <w:tcPr>
            <w:tcW w:type="dxa" w:w="900"/>
            <w:tcMar>
              <w:top w:type="dxa" w:w="60"/>
              <w:left w:type="dxa" w:w="80"/>
              <w:bottom w:type="dxa" w:w="60"/>
              <w:right w:type="dxa" w:w="80"/>
            </w:tcMar>
            <w:vAlign w:val="center"/>
          </w:tcPr>
          <w:p>
            <w:pPr>
              <w:jc w:val="left"/>
            </w:pPr>
            <w:r>
              <w:rPr>
                <w:rFonts w:ascii="Calibri" w:cs="Calibri" w:eastAsia="Calibri" w:hAnsi="Calibri"/>
                <w:sz w:val="17"/>
                <w:szCs w:val="17"/>
              </w:rPr>
              <w:t xml:space="preserve">H</w:t>
            </w:r>
          </w:p>
        </w:tc>
        <w:tc>
          <w:tcPr>
            <w:tcW w:type="dxa" w:w="2400"/>
            <w:tcMar>
              <w:top w:type="dxa" w:w="60"/>
              <w:left w:type="dxa" w:w="80"/>
              <w:bottom w:type="dxa" w:w="60"/>
              <w:right w:type="dxa" w:w="80"/>
            </w:tcMar>
            <w:vAlign w:val="center"/>
          </w:tcPr>
          <w:p>
            <w:pPr>
              <w:jc w:val="left"/>
            </w:pPr>
            <w:r>
              <w:rPr>
                <w:rFonts w:ascii="Calibri" w:cs="Calibri" w:eastAsia="Calibri" w:hAnsi="Calibri"/>
                <w:sz w:val="17"/>
                <w:szCs w:val="17"/>
              </w:rPr>
              <w:t xml:space="preserve">High</w:t>
            </w:r>
          </w:p>
        </w:tc>
        <w:tc>
          <w:tcPr>
            <w:tcW w:type="dxa" w:w="3000"/>
            <w:tcMar>
              <w:top w:type="dxa" w:w="60"/>
              <w:left w:type="dxa" w:w="80"/>
              <w:bottom w:type="dxa" w:w="60"/>
              <w:right w:type="dxa" w:w="80"/>
            </w:tcMar>
            <w:vAlign w:val="center"/>
          </w:tcPr>
          <w:p>
            <w:pPr>
              <w:jc w:val="left"/>
            </w:pPr>
            <w:r>
              <w:rPr>
                <w:rFonts w:ascii="Calibri" w:cs="Calibri" w:eastAsia="Calibri" w:hAnsi="Calibri"/>
                <w:sz w:val="17"/>
                <w:szCs w:val="17"/>
              </w:rPr>
              <w:t xml:space="preserve">(0.50, 0.75, 1)</w:t>
            </w:r>
          </w:p>
        </w:tc>
      </w:tr>
      <w:tr>
        <w:tc>
          <w:tcPr>
            <w:tcW w:type="dxa" w:w="900"/>
            <w:tcMar>
              <w:top w:type="dxa" w:w="60"/>
              <w:left w:type="dxa" w:w="80"/>
              <w:bottom w:type="dxa" w:w="60"/>
              <w:right w:type="dxa" w:w="80"/>
            </w:tcMar>
            <w:vAlign w:val="center"/>
          </w:tcPr>
          <w:p>
            <w:pPr>
              <w:jc w:val="left"/>
            </w:pPr>
            <w:r>
              <w:rPr>
                <w:rFonts w:ascii="Calibri" w:cs="Calibri" w:eastAsia="Calibri" w:hAnsi="Calibri"/>
                <w:sz w:val="17"/>
                <w:szCs w:val="17"/>
              </w:rPr>
              <w:t xml:space="preserve">VH</w:t>
            </w:r>
          </w:p>
        </w:tc>
        <w:tc>
          <w:tcPr>
            <w:tcW w:type="dxa" w:w="2400"/>
            <w:tcMar>
              <w:top w:type="dxa" w:w="60"/>
              <w:left w:type="dxa" w:w="80"/>
              <w:bottom w:type="dxa" w:w="60"/>
              <w:right w:type="dxa" w:w="80"/>
            </w:tcMar>
            <w:vAlign w:val="center"/>
          </w:tcPr>
          <w:p>
            <w:pPr>
              <w:jc w:val="left"/>
            </w:pPr>
            <w:r>
              <w:rPr>
                <w:rFonts w:ascii="Calibri" w:cs="Calibri" w:eastAsia="Calibri" w:hAnsi="Calibri"/>
                <w:sz w:val="17"/>
                <w:szCs w:val="17"/>
              </w:rPr>
              <w:t xml:space="preserve">Very high</w:t>
            </w:r>
          </w:p>
        </w:tc>
        <w:tc>
          <w:tcPr>
            <w:tcW w:type="dxa" w:w="3000"/>
            <w:tcMar>
              <w:top w:type="dxa" w:w="60"/>
              <w:left w:type="dxa" w:w="80"/>
              <w:bottom w:type="dxa" w:w="60"/>
              <w:right w:type="dxa" w:w="80"/>
            </w:tcMar>
            <w:vAlign w:val="center"/>
          </w:tcPr>
          <w:p>
            <w:pPr>
              <w:jc w:val="left"/>
            </w:pPr>
            <w:r>
              <w:rPr>
                <w:rFonts w:ascii="Calibri" w:cs="Calibri" w:eastAsia="Calibri" w:hAnsi="Calibri"/>
                <w:sz w:val="17"/>
                <w:szCs w:val="17"/>
              </w:rPr>
              <w:t xml:space="preserve">(0.75, 1, 1)</w:t>
            </w:r>
          </w:p>
        </w:tc>
      </w:tr>
    </w:tbl>
    <w:p>
      <w:r>
        <w:br w:type="page"/>
      </w:r>
    </w:p>
    <w:p>
      <w:pPr>
        <w:pStyle w:val="Heading1"/>
        <w:spacing w:after="120" w:before="240"/>
      </w:pPr>
      <w:r>
        <w:rPr>
          <w:rFonts w:ascii="Calibri" w:cs="Calibri" w:eastAsia="Calibri" w:hAnsi="Calibri"/>
          <w:b/>
          <w:bCs/>
          <w:color w:val="1F4E79"/>
          <w:sz w:val="28"/>
          <w:szCs w:val="28"/>
        </w:rPr>
        <w:t xml:space="preserve">4. Ratings by horizon</w:t>
      </w:r>
    </w:p>
    <w:p>
      <w:pPr>
        <w:spacing w:after="120"/>
      </w:pPr>
      <w:r>
        <w:rPr>
          <w:rFonts w:ascii="Calibri" w:cs="Calibri" w:eastAsia="Calibri" w:hAnsi="Calibri"/>
          <w:sz w:val="21"/>
          <w:szCs w:val="21"/>
        </w:rPr>
        <w:t xml:space="preserve">For each horizon, rate how far each alternative satisfies each institutional criterion in a typical EU member state, assuming currently announced policy (e.g. the WEEE Directive revision, Ecodesign requirements for PV, the Critical Raw Materials Act) is implemented as planned. Section 5 then asks how these ratings differ between member-state groups.</w:t>
      </w:r>
    </w:p>
    <w:p>
      <w:pPr>
        <w:pStyle w:val="Heading2"/>
        <w:spacing w:after="120" w:before="240"/>
      </w:pPr>
      <w:r>
        <w:rPr>
          <w:rFonts w:ascii="Calibri" w:cs="Calibri" w:eastAsia="Calibri" w:hAnsi="Calibri"/>
          <w:b/>
          <w:bCs/>
          <w:color w:val="1F4E79"/>
          <w:sz w:val="24"/>
          <w:szCs w:val="24"/>
        </w:rPr>
        <w:t xml:space="preserve">4.1 Horizon H1: 2026–2030 — early wave: first decommissioning of 2008–2013 installations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400"/>
        <w:gridCol w:w="1400"/>
        <w:gridCol w:w="1400"/>
        <w:gridCol w:w="1400"/>
      </w:tblGrid>
      <w:tr>
        <w:trPr>
          <w:tblHeader/>
        </w:trPr>
        <w:tc>
          <w:tcPr>
            <w:tcW w:type="dxa" w:w="56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32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Alternative</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C1 Regulatory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C2 Enforcement and compliance feasibility</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C3 Actor and market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C4 Social acceptance and public support</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A1</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Repair and refurbishment for domestic reuse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A2</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Cascaded second use (repowering with down-cycling of modules)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A3</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Export for second-life use outside the EU</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A4</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Bulk mechanical recycling (glass, aluminium, copper)</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A5</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High-value recycling (delamination; silicon, silver and glass recovery)</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A6</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Formalised collection through SMEs and installer take-back networks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A7</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Landfill / incineration with energy recovery (baseline)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bl>
    <w:p>
      <w:pPr>
        <w:spacing w:after="200" w:before="80"/>
      </w:pPr>
      <w:r>
        <w:rPr>
          <w:rFonts w:ascii="Calibri" w:cs="Calibri" w:eastAsia="Calibri" w:hAnsi="Calibri"/>
          <w:color w:val="606060"/>
          <w:sz w:val="18"/>
          <w:szCs w:val="18"/>
        </w:rPr>
        <w:t xml:space="preserve">Optional comment for this horizon: ________________________________________________________________</w:t>
      </w:r>
    </w:p>
    <w:p>
      <w:pPr>
        <w:pStyle w:val="Heading2"/>
        <w:spacing w:after="120" w:before="240"/>
      </w:pPr>
      <w:r>
        <w:rPr>
          <w:rFonts w:ascii="Calibri" w:cs="Calibri" w:eastAsia="Calibri" w:hAnsi="Calibri"/>
          <w:b/>
          <w:bCs/>
          <w:color w:val="1F4E79"/>
          <w:sz w:val="24"/>
          <w:szCs w:val="24"/>
        </w:rPr>
        <w:t xml:space="preserve">4.2 Horizon H2: 2031–2040 — peak wave: bulk of the feed-in-tariff cohort reaches end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400"/>
        <w:gridCol w:w="1400"/>
        <w:gridCol w:w="1400"/>
        <w:gridCol w:w="1400"/>
      </w:tblGrid>
      <w:tr>
        <w:trPr>
          <w:tblHeader/>
        </w:trPr>
        <w:tc>
          <w:tcPr>
            <w:tcW w:type="dxa" w:w="56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32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Alternative</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C1 Regulatory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C2 Enforcement and compliance feasibility</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C3 Actor and market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C4 Social acceptance and public support</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A1</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Repair and refurbishment for domestic reuse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A2</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Cascaded second use (repowering with down-cycling of modules)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A3</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Export for second-life use outside the EU</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A4</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Bulk mechanical recycling (glass, aluminium, copper)</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A5</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High-value recycling (delamination; silicon, silver and glass recovery)</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A6</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Formalised collection through SMEs and installer take-back networks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A7</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Landfill / incineration with energy recovery (baseline)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bl>
    <w:p>
      <w:pPr>
        <w:spacing w:after="200" w:before="80"/>
      </w:pPr>
      <w:r>
        <w:rPr>
          <w:rFonts w:ascii="Calibri" w:cs="Calibri" w:eastAsia="Calibri" w:hAnsi="Calibri"/>
          <w:color w:val="606060"/>
          <w:sz w:val="18"/>
          <w:szCs w:val="18"/>
        </w:rPr>
        <w:t xml:space="preserve">Optional comment for this horizon: ________________________________________________________________</w:t>
      </w:r>
    </w:p>
    <w:p>
      <w:r>
        <w:br w:type="page"/>
      </w:r>
    </w:p>
    <w:p>
      <w:pPr>
        <w:pStyle w:val="Heading2"/>
        <w:spacing w:after="120" w:before="240"/>
      </w:pPr>
      <w:r>
        <w:rPr>
          <w:rFonts w:ascii="Calibri" w:cs="Calibri" w:eastAsia="Calibri" w:hAnsi="Calibri"/>
          <w:b/>
          <w:bCs/>
          <w:color w:val="1F4E79"/>
          <w:sz w:val="24"/>
          <w:szCs w:val="24"/>
        </w:rPr>
        <w:t xml:space="preserve">4.3 Horizon H3: 2041–2050 — mature phase: steady-state flows, second-generation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400"/>
        <w:gridCol w:w="1400"/>
        <w:gridCol w:w="1400"/>
        <w:gridCol w:w="1400"/>
      </w:tblGrid>
      <w:tr>
        <w:trPr>
          <w:tblHeader/>
        </w:trPr>
        <w:tc>
          <w:tcPr>
            <w:tcW w:type="dxa" w:w="56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32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Alternative</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C1 Regulatory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C2 Enforcement and compliance feasibility</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C3 Actor and market readiness</w:t>
            </w:r>
          </w:p>
        </w:tc>
        <w:tc>
          <w:tcPr>
            <w:tcW w:type="dxa" w:w="1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C4 Social acceptance and public support</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A1</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Repair and refurbishment for domestic reuse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A2</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Cascaded second use (repowering with down-cycling of modules)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A3</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Export for second-life use outside the EU</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A4</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Bulk mechanical recycling (glass, aluminium, copper)</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A5</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High-value recycling (delamination; silicon, silver and glass recovery)</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A6</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Formalised collection through SMEs and installer take-back networks</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A7</w:t>
            </w:r>
          </w:p>
        </w:tc>
        <w:tc>
          <w:tcPr>
            <w:tcW w:type="dxa" w:w="3200"/>
            <w:tcMar>
              <w:top w:type="dxa" w:w="60"/>
              <w:left w:type="dxa" w:w="80"/>
              <w:bottom w:type="dxa" w:w="60"/>
              <w:right w:type="dxa" w:w="80"/>
            </w:tcMar>
            <w:vAlign w:val="center"/>
          </w:tcPr>
          <w:p>
            <w:pPr>
              <w:jc w:val="left"/>
            </w:pPr>
            <w:r>
              <w:rPr>
                <w:rFonts w:ascii="Calibri" w:cs="Calibri" w:eastAsia="Calibri" w:hAnsi="Calibri"/>
                <w:sz w:val="17"/>
                <w:szCs w:val="17"/>
              </w:rPr>
              <w:t xml:space="preserve">Landfill / incineration with energy recovery (baseline)</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1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bl>
    <w:p>
      <w:pPr>
        <w:spacing w:after="200" w:before="80"/>
      </w:pPr>
      <w:r>
        <w:rPr>
          <w:rFonts w:ascii="Calibri" w:cs="Calibri" w:eastAsia="Calibri" w:hAnsi="Calibri"/>
          <w:color w:val="606060"/>
          <w:sz w:val="18"/>
          <w:szCs w:val="18"/>
        </w:rPr>
        <w:t xml:space="preserve">Optional comment for this horizon: ________________________________________________________________</w:t>
      </w:r>
    </w:p>
    <w:p>
      <w:r>
        <w:br w:type="page"/>
      </w:r>
    </w:p>
    <w:p>
      <w:pPr>
        <w:pStyle w:val="Heading1"/>
        <w:spacing w:after="120" w:before="240"/>
      </w:pPr>
      <w:r>
        <w:rPr>
          <w:rFonts w:ascii="Calibri" w:cs="Calibri" w:eastAsia="Calibri" w:hAnsi="Calibri"/>
          <w:b/>
          <w:bCs/>
          <w:color w:val="1F4E79"/>
          <w:sz w:val="28"/>
          <w:szCs w:val="28"/>
        </w:rPr>
        <w:t xml:space="preserve">5. Member-state context</w:t>
      </w:r>
    </w:p>
    <w:p>
      <w:pPr>
        <w:spacing w:after="120"/>
      </w:pPr>
      <w:r>
        <w:rPr>
          <w:rFonts w:ascii="Calibri" w:cs="Calibri" w:eastAsia="Calibri" w:hAnsi="Calibri"/>
          <w:sz w:val="21"/>
          <w:szCs w:val="21"/>
        </w:rPr>
        <w:t xml:space="preserve">Our benchmarking of Eurostat circular-economy indicators (2012–2023) distinguishes two groups of member states: consolidated leaders, which have ranked consistently in the upper tier on the EU monitoring framework (e.g. the Netherlands, Belgium, Luxembourg, France, Italy, Austria, Germany, Estonia), and converging member states, which have lower or more volatile readiness (the remaining nineteen). For the peak-wave horizon (2031–2040), how would you rate the overall institutional feasibility of each alternative in each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000"/>
        <w:gridCol w:w="2400"/>
        <w:gridCol w:w="2400"/>
      </w:tblGrid>
      <w:tr>
        <w:trPr>
          <w:tblHeader/>
        </w:trPr>
        <w:tc>
          <w:tcPr>
            <w:tcW w:type="dxa" w:w="56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40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Alternative</w:t>
            </w:r>
          </w:p>
        </w:tc>
        <w:tc>
          <w:tcPr>
            <w:tcW w:type="dxa" w:w="2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Consolidated-leader member states</w:t>
            </w:r>
          </w:p>
        </w:tc>
        <w:tc>
          <w:tcPr>
            <w:tcW w:type="dxa" w:w="24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Converging member states</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A1</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Repair and refurbishment for domestic reuse</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A2</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Cascaded second use (repowering with down-cycling of modules)</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A3</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Export for second-life use outside the EU</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A4</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Bulk mechanical recycling (glass, aluminium, copper)</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A5</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High-value recycling (delamination; silicon, silver and glass recovery)</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A6</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Formalised collection through SMEs and installer take-back networks</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r>
        <w:tc>
          <w:tcPr>
            <w:tcW w:type="dxa" w:w="560"/>
            <w:tcMar>
              <w:top w:type="dxa" w:w="60"/>
              <w:left w:type="dxa" w:w="80"/>
              <w:bottom w:type="dxa" w:w="60"/>
              <w:right w:type="dxa" w:w="80"/>
            </w:tcMar>
            <w:vAlign w:val="center"/>
          </w:tcPr>
          <w:p>
            <w:pPr>
              <w:jc w:val="left"/>
            </w:pPr>
            <w:r>
              <w:rPr>
                <w:rFonts w:ascii="Calibri" w:cs="Calibri" w:eastAsia="Calibri" w:hAnsi="Calibri"/>
                <w:b/>
                <w:bCs/>
                <w:sz w:val="18"/>
                <w:szCs w:val="18"/>
              </w:rPr>
              <w:t xml:space="preserve">A7</w:t>
            </w:r>
          </w:p>
        </w:tc>
        <w:tc>
          <w:tcPr>
            <w:tcW w:type="dxa" w:w="4000"/>
            <w:tcMar>
              <w:top w:type="dxa" w:w="60"/>
              <w:left w:type="dxa" w:w="80"/>
              <w:bottom w:type="dxa" w:w="60"/>
              <w:right w:type="dxa" w:w="80"/>
            </w:tcMar>
            <w:vAlign w:val="center"/>
          </w:tcPr>
          <w:p>
            <w:pPr>
              <w:jc w:val="left"/>
            </w:pPr>
            <w:r>
              <w:rPr>
                <w:rFonts w:ascii="Calibri" w:cs="Calibri" w:eastAsia="Calibri" w:hAnsi="Calibri"/>
                <w:sz w:val="17"/>
                <w:szCs w:val="17"/>
              </w:rPr>
              <w:t xml:space="preserve">Landfill / incineration with energy recovery (baseline)</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c>
          <w:tcPr>
            <w:tcW w:type="dxa" w:w="24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VL  L  M  H  VH</w:t>
            </w:r>
          </w:p>
        </w:tc>
      </w:tr>
    </w:tbl>
    <w:p>
      <w:pPr>
        <w:spacing w:after="120" w:before="80"/>
      </w:pPr>
      <w:r>
        <w:rPr>
          <w:rFonts w:ascii="Calibri" w:cs="Calibri" w:eastAsia="Calibri" w:hAnsi="Calibri"/>
          <w:color w:val="606060"/>
          <w:sz w:val="18"/>
          <w:szCs w:val="18"/>
        </w:rPr>
        <w:t xml:space="preserve">Which single factor most limits the converging group? ________________________________________________</w:t>
      </w:r>
    </w:p>
    <w:p>
      <w:pPr>
        <w:pStyle w:val="Heading1"/>
        <w:spacing w:after="120" w:before="240"/>
      </w:pPr>
      <w:r>
        <w:rPr>
          <w:rFonts w:ascii="Calibri" w:cs="Calibri" w:eastAsia="Calibri" w:hAnsi="Calibri"/>
          <w:b/>
          <w:bCs/>
          <w:color w:val="1F4E79"/>
          <w:sz w:val="28"/>
          <w:szCs w:val="28"/>
        </w:rPr>
        <w:t xml:space="preserve">6. Relative importance of criteria</w:t>
      </w:r>
    </w:p>
    <w:p>
      <w:pPr>
        <w:spacing w:after="120"/>
      </w:pPr>
      <w:r>
        <w:rPr>
          <w:rFonts w:ascii="Calibri" w:cs="Calibri" w:eastAsia="Calibri" w:hAnsi="Calibri"/>
          <w:sz w:val="21"/>
          <w:szCs w:val="21"/>
        </w:rPr>
        <w:t xml:space="preserve">When a member state chooses which end-of-life pathway to prioritise, how important is each criterion? Institutional criteria C1–C4 are those you rated above; C5–C9 are quantified from the literature and are listed so that you can weigh all criteria on the same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00"/>
      </w:tblGrid>
      <w:tr>
        <w:trPr>
          <w:tblHeader/>
        </w:trPr>
        <w:tc>
          <w:tcPr>
            <w:tcW w:type="dxa" w:w="7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
            </w:r>
          </w:p>
        </w:tc>
        <w:tc>
          <w:tcPr>
            <w:tcW w:type="dxa" w:w="5400"/>
            <w:shd w:fill="D9E2F3" w:color="auto" w:val="clear"/>
            <w:tcMar>
              <w:top w:type="dxa" w:w="60"/>
              <w:left w:type="dxa" w:w="80"/>
              <w:bottom w:type="dxa" w:w="60"/>
              <w:right w:type="dxa" w:w="80"/>
            </w:tcMar>
            <w:vAlign w:val="center"/>
          </w:tcPr>
          <w:p>
            <w:pPr>
              <w:jc w:val="left"/>
            </w:pPr>
            <w:r>
              <w:rPr>
                <w:rFonts w:ascii="Calibri" w:cs="Calibri" w:eastAsia="Calibri" w:hAnsi="Calibri"/>
                <w:b/>
                <w:bCs/>
                <w:sz w:val="18"/>
                <w:szCs w:val="18"/>
              </w:rPr>
              <w:t xml:space="preserve">Criterion</w:t>
            </w:r>
          </w:p>
        </w:tc>
        <w:tc>
          <w:tcPr>
            <w:tcW w:type="dxa" w:w="3200"/>
            <w:shd w:fill="D9E2F3" w:color="auto" w:val="clear"/>
            <w:tcMar>
              <w:top w:type="dxa" w:w="60"/>
              <w:left w:type="dxa" w:w="80"/>
              <w:bottom w:type="dxa" w:w="60"/>
              <w:right w:type="dxa" w:w="80"/>
            </w:tcMar>
            <w:vAlign w:val="center"/>
          </w:tcPr>
          <w:p>
            <w:pPr>
              <w:jc w:val="center"/>
            </w:pPr>
            <w:r>
              <w:rPr>
                <w:rFonts w:ascii="Calibri" w:cs="Calibri" w:eastAsia="Calibri" w:hAnsi="Calibri"/>
                <w:b/>
                <w:bCs/>
                <w:sz w:val="16"/>
                <w:szCs w:val="16"/>
              </w:rPr>
              <w:t xml:space="preserve">Importance 1 (negligible) – 9 (decisive)</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C1</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Regulatory readiness</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C2</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Enforcement and compliance feasibility</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C3</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Actor and market readiness</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C4</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Social acceptance and public support</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C5</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Net cost per tonne treated (literature-derived)</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C6</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Material recovery rate and quality (literature-derived)</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C7</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Avoided greenhouse-gas emissions (literature-derived)</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C8</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Critical raw material recovery: silicon, silver (literature-derived)</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r>
        <w:tc>
          <w:tcPr>
            <w:tcW w:type="dxa" w:w="700"/>
            <w:tcMar>
              <w:top w:type="dxa" w:w="60"/>
              <w:left w:type="dxa" w:w="80"/>
              <w:bottom w:type="dxa" w:w="60"/>
              <w:right w:type="dxa" w:w="80"/>
            </w:tcMar>
            <w:vAlign w:val="center"/>
          </w:tcPr>
          <w:p>
            <w:pPr>
              <w:jc w:val="left"/>
            </w:pPr>
            <w:r>
              <w:rPr>
                <w:rFonts w:ascii="Calibri" w:cs="Calibri" w:eastAsia="Calibri" w:hAnsi="Calibri"/>
                <w:b/>
                <w:bCs/>
                <w:sz w:val="18"/>
                <w:szCs w:val="18"/>
              </w:rPr>
              <w:t xml:space="preserve">C9</w:t>
            </w:r>
          </w:p>
        </w:tc>
        <w:tc>
          <w:tcPr>
            <w:tcW w:type="dxa" w:w="5400"/>
            <w:tcMar>
              <w:top w:type="dxa" w:w="60"/>
              <w:left w:type="dxa" w:w="80"/>
              <w:bottom w:type="dxa" w:w="60"/>
              <w:right w:type="dxa" w:w="80"/>
            </w:tcMar>
            <w:vAlign w:val="center"/>
          </w:tcPr>
          <w:p>
            <w:pPr>
              <w:jc w:val="left"/>
            </w:pPr>
            <w:r>
              <w:rPr>
                <w:rFonts w:ascii="Calibri" w:cs="Calibri" w:eastAsia="Calibri" w:hAnsi="Calibri"/>
                <w:sz w:val="17"/>
                <w:szCs w:val="17"/>
              </w:rPr>
              <w:t xml:space="preserve">Employment and regional value added (literature-derived)</w:t>
            </w:r>
          </w:p>
        </w:tc>
        <w:tc>
          <w:tcPr>
            <w:tcW w:type="dxa" w:w="3200"/>
            <w:tcMar>
              <w:top w:type="dxa" w:w="60"/>
              <w:left w:type="dxa" w:w="80"/>
              <w:bottom w:type="dxa" w:w="60"/>
              <w:right w:type="dxa" w:w="80"/>
            </w:tcMar>
            <w:vAlign w:val="center"/>
          </w:tcPr>
          <w:p>
            <w:pPr>
              <w:jc w:val="center"/>
            </w:pPr>
            <w:r>
              <w:rPr>
                <w:rFonts w:ascii="Calibri" w:cs="Calibri" w:eastAsia="Calibri" w:hAnsi="Calibri"/>
                <w:color w:val="808080"/>
                <w:sz w:val="16"/>
                <w:szCs w:val="16"/>
              </w:rPr>
              <w:t xml:space="preserve">1  2  3  4  5  6  7  8  9</w:t>
            </w:r>
          </w:p>
        </w:tc>
      </w:tr>
    </w:tbl>
    <w:p>
      <w:pPr>
        <w:pStyle w:val="Heading1"/>
        <w:spacing w:after="120" w:before="240"/>
      </w:pPr>
      <w:r>
        <w:rPr>
          <w:rFonts w:ascii="Calibri" w:cs="Calibri" w:eastAsia="Calibri" w:hAnsi="Calibri"/>
          <w:b/>
          <w:bCs/>
          <w:color w:val="1F4E79"/>
          <w:sz w:val="28"/>
          <w:szCs w:val="28"/>
        </w:rPr>
        <w:t xml:space="preserve">7. Open questions</w:t>
      </w:r>
    </w:p>
    <w:p>
      <w:pPr>
        <w:spacing w:after="60" w:before="120"/>
      </w:pPr>
      <w:r>
        <w:rPr>
          <w:rFonts w:ascii="Calibri" w:cs="Calibri" w:eastAsia="Calibri" w:hAnsi="Calibri"/>
          <w:b/>
          <w:bCs/>
          <w:sz w:val="21"/>
          <w:szCs w:val="21"/>
        </w:rPr>
        <w:t xml:space="preserve">7.1 Which policy instrument would most accelerate high-value recycling (A5) before 2035?</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spacing w:after="60" w:before="120"/>
      </w:pPr>
      <w:r>
        <w:rPr>
          <w:rFonts w:ascii="Calibri" w:cs="Calibri" w:eastAsia="Calibri" w:hAnsi="Calibri"/>
          <w:b/>
          <w:bCs/>
          <w:sz w:val="21"/>
          <w:szCs w:val="21"/>
        </w:rPr>
        <w:t xml:space="preserve">7.2 Is export for second-life use (A3) a legitimate circular pathway or a leakage risk? Under what conditions?</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spacing w:after="60" w:before="120"/>
      </w:pPr>
      <w:r>
        <w:rPr>
          <w:rFonts w:ascii="Calibri" w:cs="Calibri" w:eastAsia="Calibri" w:hAnsi="Calibri"/>
          <w:b/>
          <w:bCs/>
          <w:sz w:val="21"/>
          <w:szCs w:val="21"/>
        </w:rPr>
        <w:t xml:space="preserve">7.3 Are there alternatives or criteria missing from this survey that you consider essential?</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spacing w:after="120"/>
      </w:pPr>
      <w:r>
        <w:rPr>
          <w:rFonts w:ascii="Calibri" w:cs="Calibri" w:eastAsia="Calibri" w:hAnsi="Calibri"/>
          <w:color w:val="808080"/>
          <w:sz w:val="21"/>
          <w:szCs w:val="21"/>
        </w:rPr>
        <w:t xml:space="preserve">______________________________________________________________________________________________</w:t>
      </w:r>
    </w:p>
    <w:p>
      <w:pPr>
        <w:pStyle w:val="Heading1"/>
        <w:spacing w:after="120" w:before="240"/>
      </w:pPr>
      <w:r>
        <w:rPr>
          <w:rFonts w:ascii="Calibri" w:cs="Calibri" w:eastAsia="Calibri" w:hAnsi="Calibri"/>
          <w:b/>
          <w:bCs/>
          <w:color w:val="1F4E79"/>
          <w:sz w:val="28"/>
          <w:szCs w:val="28"/>
        </w:rPr>
        <w:t xml:space="preserve">8. Round 2</w:t>
      </w:r>
    </w:p>
    <w:p>
      <w:pPr>
        <w:spacing w:after="120"/>
      </w:pPr>
      <w:r>
        <w:rPr>
          <w:rFonts w:ascii="Calibri" w:cs="Calibri" w:eastAsia="Calibri" w:hAnsi="Calibri"/>
          <w:sz w:val="21"/>
          <w:szCs w:val="21"/>
        </w:rPr>
        <w:t xml:space="preserve">Within three weeks you will receive a short Round-2 form showing, for each item, the panel’s aggregated rating and your own Round-1 rating. You may keep or revise your rating. Items reaching a consensus threshold in Round 1 will not be re-asked.</w:t>
      </w:r>
    </w:p>
    <w:p>
      <w:pPr>
        <w:spacing w:after="120" w:before="200"/>
      </w:pPr>
      <w:r>
        <w:rPr>
          <w:rFonts w:ascii="Calibri" w:cs="Calibri" w:eastAsia="Calibri" w:hAnsi="Calibri"/>
          <w:b/>
          <w:bCs/>
          <w:sz w:val="21"/>
          <w:szCs w:val="21"/>
        </w:rPr>
        <w:t xml:space="preserve">Thank you for your contribution.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2026-09-04T05:01:09.631Z</dcterms:created>
  <dcterms:modified xsi:type="dcterms:W3CDTF">2026-09-04T05:01:09.631Z</dcterms:modified>
</cp:coreProperties>
</file>

<file path=docProps/custom.xml><?xml version="1.0" encoding="utf-8"?>
<Properties xmlns="http://schemas.openxmlformats.org/officeDocument/2006/custom-properties" xmlns:vt="http://schemas.openxmlformats.org/officeDocument/2006/docPropsVTypes"/>
</file>