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E52"/>
          <w:sz w:val="52"/>
        </w:rPr>
        <w:br/>
        <w:t>My Health School — Wellness Center App</w:t>
      </w:r>
    </w:p>
    <w:p>
      <w:pPr>
        <w:jc w:val="center"/>
      </w:pPr>
      <w:r>
        <w:rPr>
          <w:sz w:val="30"/>
        </w:rPr>
        <w:t>Product Requirements Document (PRD)</w:t>
      </w:r>
    </w:p>
    <w:p>
      <w:pPr>
        <w:jc w:val="center"/>
      </w:pPr>
      <w:r>
        <w:rPr>
          <w:i/>
          <w:sz w:val="20"/>
        </w:rPr>
        <w:t>Version 1.0  ·  25 August 2026  ·  Prepared for MHS Tech / IT</w:t>
      </w:r>
    </w:p>
    <w:p/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</w:tcPr>
          <w:p>
            <w:r>
              <w:t>Product</w:t>
            </w:r>
          </w:p>
        </w:tc>
        <w:tc>
          <w:tcPr>
            <w:tcW w:type="dxa" w:w="7056"/>
          </w:tcPr>
          <w:p>
            <w:r>
              <w:t>MHS Wellness Center App — clinic CRM &amp; operations platform</w:t>
            </w:r>
          </w:p>
        </w:tc>
      </w:tr>
      <w:tr>
        <w:tc>
          <w:tcPr>
            <w:tcW w:type="dxa" w:w="2304"/>
          </w:tcPr>
          <w:p>
            <w:r>
              <w:t>Document status</w:t>
            </w:r>
          </w:p>
        </w:tc>
        <w:tc>
          <w:tcPr>
            <w:tcW w:type="dxa" w:w="7056"/>
          </w:tcPr>
          <w:p>
            <w:r>
              <w:t>Current-state PRD (describes the shipped product plus locked rules)</w:t>
            </w:r>
          </w:p>
        </w:tc>
      </w:tr>
      <w:tr>
        <w:tc>
          <w:tcPr>
            <w:tcW w:type="dxa" w:w="2304"/>
          </w:tcPr>
          <w:p>
            <w:r>
              <w:t>Owner</w:t>
            </w:r>
          </w:p>
        </w:tc>
        <w:tc>
          <w:tcPr>
            <w:tcW w:type="dxa" w:w="7056"/>
          </w:tcPr>
          <w:p>
            <w:r>
              <w:t>MHS Tech IT</w:t>
            </w:r>
          </w:p>
        </w:tc>
      </w:tr>
      <w:tr>
        <w:tc>
          <w:tcPr>
            <w:tcW w:type="dxa" w:w="2304"/>
          </w:tcPr>
          <w:p>
            <w:r>
              <w:t>Environments</w:t>
            </w:r>
          </w:p>
        </w:tc>
        <w:tc>
          <w:tcPr>
            <w:tcW w:type="dxa" w:w="7056"/>
          </w:tcPr>
          <w:p>
            <w:r>
              <w:t>Local development · Staging (shared Postgres via SSH tunnel) · Production (single-server AWS)</w:t>
            </w:r>
          </w:p>
        </w:tc>
      </w:tr>
      <w:tr>
        <w:tc>
          <w:tcPr>
            <w:tcW w:type="dxa" w:w="2304"/>
          </w:tcPr>
          <w:p>
            <w:r>
              <w:t>Repository</w:t>
            </w:r>
          </w:p>
        </w:tc>
        <w:tc>
          <w:tcPr>
            <w:tcW w:type="dxa" w:w="7056"/>
          </w:tcPr>
          <w:p>
            <w:r>
              <w:t>github.com/MHSTechIT/wellness-center-app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6E52"/>
        </w:rPr>
        <w:t>1. Product overview</w:t>
      </w:r>
    </w:p>
    <w:p>
      <w:r>
        <w:rPr>
          <w:b w:val="0"/>
          <w:i w:val="0"/>
        </w:rPr>
        <w:t>My Health School runs wellness clinics whose core business is converting advertising leads (primarily Meta/Facebook Lead Ads) into enrolled clients of health programs — Diabetes Counselling (programs L1/L2), Physiotherapy, Blood Tests, and allied services. The Wellness Center App is the single operational platform for that entire journey: lead capture, tele-sales, appointment booking, clinic-floor check-in, clinical assessment, payment collection, management approval, finance reconciliation, and reporting.</w:t>
      </w:r>
    </w:p>
    <w:p>
      <w:pPr>
        <w:pStyle w:val="Heading3"/>
      </w:pPr>
      <w:r>
        <w:t>The one-line story</w:t>
      </w:r>
    </w:p>
    <w:p>
      <w:r>
        <w:rPr>
          <w:b w:val="0"/>
          <w:i w:val="0"/>
        </w:rPr>
        <w:t>A lead arrives from Meta → is auto-assigned to an advisor → is called and dispositioned → gets an appointment → checks in at Reception → is screened and assessed by a Health Coach (with a mandatory consultation recording) → the deal is frozen and sent to the BDM for approval → approval enrols the client and records the program level → money is collected and reconciled in Accounts → every step is dated, audited, and reported.</w:t>
      </w:r>
    </w:p>
    <w:p>
      <w:pPr>
        <w:pStyle w:val="Heading3"/>
      </w:pPr>
      <w:r>
        <w:t>Product goals</w:t>
      </w:r>
    </w:p>
    <w:p>
      <w:pPr>
        <w:pStyle w:val="ListBullet"/>
      </w:pPr>
      <w:r>
        <w:t>One source of truth: every screen reads the same canonical fields (a lead is enrolled if and only if leads.enrolled_at is set).</w:t>
      </w:r>
    </w:p>
    <w:p>
      <w:pPr>
        <w:pStyle w:val="ListBullet"/>
      </w:pPr>
      <w:r>
        <w:t>No lead left behind: automatic assignment, follow-up reminders and overdue tracking so every lead is worked the day it arrives.</w:t>
      </w:r>
    </w:p>
    <w:p>
      <w:pPr>
        <w:pStyle w:val="ListBullet"/>
      </w:pPr>
      <w:r>
        <w:t>Trustworthy numbers: any metric shown on two screens must be computed from the same rule and match to the day (see the Metric Dictionary, §7).</w:t>
      </w:r>
    </w:p>
    <w:p>
      <w:pPr>
        <w:pStyle w:val="ListBullet"/>
      </w:pPr>
      <w:r>
        <w:t>Audit everything: assignments, status changes, payments, approvals, recordings and imports leave a permanent trail.</w:t>
      </w:r>
    </w:p>
    <w:p>
      <w:pPr>
        <w:pStyle w:val="ListBullet"/>
      </w:pPr>
      <w:r>
        <w:t>Safety first: destructive or bulk actions preview before they write; money and clinical records lock after saving.</w:t>
      </w:r>
    </w:p>
    <w:p>
      <w:pPr>
        <w:pStyle w:val="Heading3"/>
      </w:pPr>
      <w:r>
        <w:t>Non-goals (current scope)</w:t>
      </w:r>
    </w:p>
    <w:p>
      <w:pPr>
        <w:pStyle w:val="ListBullet"/>
      </w:pPr>
      <w:r>
        <w:t>No patient-facing portal or mobile app — this is a staff tool.</w:t>
      </w:r>
    </w:p>
    <w:p>
      <w:pPr>
        <w:pStyle w:val="ListBullet"/>
      </w:pPr>
      <w:r>
        <w:t>No automated marketing (ad buying, WhatsApp campaigns) — the app measures campaigns, it does not run them.</w:t>
      </w:r>
    </w:p>
    <w:p>
      <w:pPr>
        <w:pStyle w:val="ListBullet"/>
      </w:pPr>
      <w:r>
        <w:t>No payroll/HR functions.</w:t>
      </w:r>
    </w:p>
    <w:p>
      <w:pPr>
        <w:pStyle w:val="Heading1"/>
      </w:pPr>
      <w:r>
        <w:rPr>
          <w:color w:val="0F6E52"/>
        </w:rPr>
        <w:t>2. Users, roles and access</w:t>
      </w:r>
    </w:p>
    <w:p>
      <w:r>
        <w:rPr>
          <w:b w:val="0"/>
          <w:i w:val="0"/>
        </w:rPr>
        <w:t>Access is role-based. A user may hold multiple roles (e.g. Health Coach + Advisor); their visible screens are the union of their roles' modules, editable in Settings → Roles. Unknown roles receive no modules (fail closed). Only Super Admin bypasses the matrix.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744"/>
          </w:tcPr>
          <w:p>
            <w:r>
              <w:rPr>
                <w:b/>
              </w:rPr>
              <w:t>Primary screens</w:t>
            </w:r>
          </w:p>
        </w:tc>
        <w:tc>
          <w:tcPr>
            <w:tcW w:type="dxa" w:w="3168"/>
          </w:tcPr>
          <w:p>
            <w:r>
              <w:rPr>
                <w:b/>
              </w:rPr>
              <w:t>Data scope</w:t>
            </w:r>
          </w:p>
        </w:tc>
      </w:tr>
      <w:tr>
        <w:tc>
          <w:tcPr>
            <w:tcW w:type="dxa" w:w="2448"/>
          </w:tcPr>
          <w:p>
            <w:r>
              <w:t>Super Admin (Owner)</w:t>
            </w:r>
          </w:p>
        </w:tc>
        <w:tc>
          <w:tcPr>
            <w:tcW w:type="dxa" w:w="3744"/>
          </w:tcPr>
          <w:p>
            <w:r>
              <w:t>Everything</w:t>
            </w:r>
          </w:p>
        </w:tc>
        <w:tc>
          <w:tcPr>
            <w:tcW w:type="dxa" w:w="3168"/>
          </w:tcPr>
          <w:p>
            <w:r>
              <w:t>Everything</w:t>
            </w:r>
          </w:p>
        </w:tc>
      </w:tr>
      <w:tr>
        <w:tc>
          <w:tcPr>
            <w:tcW w:type="dxa" w:w="2448"/>
          </w:tcPr>
          <w:p>
            <w:r>
              <w:t>Manager / Branch Manager</w:t>
            </w:r>
          </w:p>
        </w:tc>
        <w:tc>
          <w:tcPr>
            <w:tcW w:type="dxa" w:w="3744"/>
          </w:tcPr>
          <w:p>
            <w:r>
              <w:t>Full access</w:t>
            </w:r>
          </w:p>
        </w:tc>
        <w:tc>
          <w:tcPr>
            <w:tcW w:type="dxa" w:w="3168"/>
          </w:tcPr>
          <w:p>
            <w:r>
              <w:t>All data; follow-up reminders follow the dashboard's advisor picker</w:t>
            </w:r>
          </w:p>
        </w:tc>
      </w:tr>
      <w:tr>
        <w:tc>
          <w:tcPr>
            <w:tcW w:type="dxa" w:w="2448"/>
          </w:tcPr>
          <w:p>
            <w:r>
              <w:t>Advisor / Senior Advisor / Telecaller</w:t>
            </w:r>
          </w:p>
        </w:tc>
        <w:tc>
          <w:tcPr>
            <w:tcW w:type="dxa" w:w="3744"/>
          </w:tcPr>
          <w:p>
            <w:r>
              <w:t>Health Advisor, Recordings</w:t>
            </w:r>
          </w:p>
        </w:tc>
        <w:tc>
          <w:tcPr>
            <w:tcW w:type="dxa" w:w="3168"/>
          </w:tcPr>
          <w:p>
            <w:r>
              <w:t>Own assigned leads only (dashboard, tables, reminders)</w:t>
            </w:r>
          </w:p>
        </w:tc>
      </w:tr>
      <w:tr>
        <w:tc>
          <w:tcPr>
            <w:tcW w:type="dxa" w:w="2448"/>
          </w:tcPr>
          <w:p>
            <w:r>
              <w:t>Health Coach</w:t>
            </w:r>
          </w:p>
        </w:tc>
        <w:tc>
          <w:tcPr>
            <w:tcW w:type="dxa" w:w="3744"/>
          </w:tcPr>
          <w:p>
            <w:r>
              <w:t>Health Coach, Recordings</w:t>
            </w:r>
          </w:p>
        </w:tc>
        <w:tc>
          <w:tcPr>
            <w:tcW w:type="dxa" w:w="3168"/>
          </w:tcPr>
          <w:p>
            <w:r>
              <w:t>Own clients only (appointment coach = self); reminders limited to own clients</w:t>
            </w:r>
          </w:p>
        </w:tc>
      </w:tr>
      <w:tr>
        <w:tc>
          <w:tcPr>
            <w:tcW w:type="dxa" w:w="2448"/>
          </w:tcPr>
          <w:p>
            <w:r>
              <w:t>Receptionist</w:t>
            </w:r>
          </w:p>
        </w:tc>
        <w:tc>
          <w:tcPr>
            <w:tcW w:type="dxa" w:w="3744"/>
          </w:tcPr>
          <w:p>
            <w:r>
              <w:t>Reception, Screening, Blood test, Physio, Recordings</w:t>
            </w:r>
          </w:p>
        </w:tc>
        <w:tc>
          <w:tcPr>
            <w:tcW w:type="dxa" w:w="3168"/>
          </w:tcPr>
          <w:p>
            <w:r>
              <w:t>Clinic-floor data; no advisor follow-up notifications</w:t>
            </w:r>
          </w:p>
        </w:tc>
      </w:tr>
      <w:tr>
        <w:tc>
          <w:tcPr>
            <w:tcW w:type="dxa" w:w="2448"/>
          </w:tcPr>
          <w:p>
            <w:r>
              <w:t>BDM</w:t>
            </w:r>
          </w:p>
        </w:tc>
        <w:tc>
          <w:tcPr>
            <w:tcW w:type="dxa" w:w="3744"/>
          </w:tcPr>
          <w:p>
            <w:r>
              <w:t>BDM Requisition, Reports, Direct Upload</w:t>
            </w:r>
          </w:p>
        </w:tc>
        <w:tc>
          <w:tcPr>
            <w:tcW w:type="dxa" w:w="3168"/>
          </w:tcPr>
          <w:p>
            <w:r>
              <w:t>Approval queue; bulk lead updater</w:t>
            </w:r>
          </w:p>
        </w:tc>
      </w:tr>
      <w:tr>
        <w:tc>
          <w:tcPr>
            <w:tcW w:type="dxa" w:w="2448"/>
          </w:tcPr>
          <w:p>
            <w:r>
              <w:t>ABM</w:t>
            </w:r>
          </w:p>
        </w:tc>
        <w:tc>
          <w:tcPr>
            <w:tcW w:type="dxa" w:w="3744"/>
          </w:tcPr>
          <w:p>
            <w:r>
              <w:t>Assign &amp; approve, Advisor, Import, Reports</w:t>
            </w:r>
          </w:p>
        </w:tc>
        <w:tc>
          <w:tcPr>
            <w:tcW w:type="dxa" w:w="3168"/>
          </w:tcPr>
          <w:p>
            <w:r>
              <w:t>Pool assignment and oversight</w:t>
            </w:r>
          </w:p>
        </w:tc>
      </w:tr>
      <w:tr>
        <w:tc>
          <w:tcPr>
            <w:tcW w:type="dxa" w:w="2448"/>
          </w:tcPr>
          <w:p>
            <w:r>
              <w:t>Accounts</w:t>
            </w:r>
          </w:p>
        </w:tc>
        <w:tc>
          <w:tcPr>
            <w:tcW w:type="dxa" w:w="3744"/>
          </w:tcPr>
          <w:p>
            <w:r>
              <w:t>Accounts &amp; finance</w:t>
            </w:r>
          </w:p>
        </w:tc>
        <w:tc>
          <w:tcPr>
            <w:tcW w:type="dxa" w:w="3168"/>
          </w:tcPr>
          <w:p>
            <w:r>
              <w:t>Payments, refunds, partner reconciliation</w:t>
            </w:r>
          </w:p>
        </w:tc>
      </w:tr>
    </w:tbl>
    <w:p/>
    <w:p>
      <w:r>
        <w:rPr>
          <w:b w:val="0"/>
          <w:i/>
        </w:rPr>
        <w:t>Server-side enforcement: sessions are HMAC-signed tokens (12-hour life); admin-only writes (users, roles, settings, bulk import, auto-assign switch) are role-checked at the API, not just hidden in the UI. Storage links are re-signed per viewer at render time so files never carry a dead or borrowed token.</w:t>
      </w:r>
    </w:p>
    <w:p>
      <w:pPr>
        <w:pStyle w:val="Heading1"/>
      </w:pPr>
      <w:r>
        <w:rPr>
          <w:color w:val="0F6E52"/>
        </w:rPr>
        <w:t>3. Scope — module inventory (17 screens)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304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61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t>Hero</w:t>
            </w:r>
          </w:p>
        </w:tc>
        <w:tc>
          <w:tcPr>
            <w:tcW w:type="dxa" w:w="2304"/>
          </w:tcPr>
          <w:p>
            <w:r>
              <w:t>Health Advisor</w:t>
            </w:r>
          </w:p>
        </w:tc>
        <w:tc>
          <w:tcPr>
            <w:tcW w:type="dxa" w:w="5616"/>
          </w:tcPr>
          <w:p>
            <w:r>
              <w:t>Tele-sales cockpit: pipeline dashboard, assigned-leads table, full lead profile, slot board, follow-ups, WhatsApp, call logs, activity log</w:t>
            </w:r>
          </w:p>
        </w:tc>
      </w:tr>
      <w:tr>
        <w:tc>
          <w:tcPr>
            <w:tcW w:type="dxa" w:w="1440"/>
          </w:tcPr>
          <w:p>
            <w:r>
              <w:t>Hero</w:t>
            </w:r>
          </w:p>
        </w:tc>
        <w:tc>
          <w:tcPr>
            <w:tcW w:type="dxa" w:w="2304"/>
          </w:tcPr>
          <w:p>
            <w:r>
              <w:t>Health Coach</w:t>
            </w:r>
          </w:p>
        </w:tc>
        <w:tc>
          <w:tcPr>
            <w:tcW w:type="dxa" w:w="5616"/>
          </w:tcPr>
          <w:p>
            <w:r>
              <w:t>Clinical cockpit: visited-clients queue, recorded health assessment, consultation &amp; program, payments, BDM requests</w:t>
            </w:r>
          </w:p>
        </w:tc>
      </w:tr>
      <w:tr>
        <w:tc>
          <w:tcPr>
            <w:tcW w:type="dxa" w:w="1440"/>
          </w:tcPr>
          <w:p>
            <w:r>
              <w:t>Leads &amp; CRM</w:t>
            </w:r>
          </w:p>
        </w:tc>
        <w:tc>
          <w:tcPr>
            <w:tcW w:type="dxa" w:w="2304"/>
          </w:tcPr>
          <w:p>
            <w:r>
              <w:t>Lead import</w:t>
            </w:r>
          </w:p>
        </w:tc>
        <w:tc>
          <w:tcPr>
            <w:tcW w:type="dxa" w:w="5616"/>
          </w:tcPr>
          <w:p>
            <w:r>
              <w:t>CSV import, batch history, lead browser</w:t>
            </w:r>
          </w:p>
        </w:tc>
      </w:tr>
      <w:tr>
        <w:tc>
          <w:tcPr>
            <w:tcW w:type="dxa" w:w="1440"/>
          </w:tcPr>
          <w:p>
            <w:r>
              <w:t>Leads &amp; CRM</w:t>
            </w:r>
          </w:p>
        </w:tc>
        <w:tc>
          <w:tcPr>
            <w:tcW w:type="dxa" w:w="2304"/>
          </w:tcPr>
          <w:p>
            <w:r>
              <w:t>Meta leads</w:t>
            </w:r>
          </w:p>
        </w:tc>
        <w:tc>
          <w:tcPr>
            <w:tcW w:type="dxa" w:w="5616"/>
          </w:tcPr>
          <w:p>
            <w:r>
              <w:t>Synced Meta Lead Ads with attribution and sync controls</w:t>
            </w:r>
          </w:p>
        </w:tc>
      </w:tr>
      <w:tr>
        <w:tc>
          <w:tcPr>
            <w:tcW w:type="dxa" w:w="1440"/>
          </w:tcPr>
          <w:p>
            <w:r>
              <w:t>Leads &amp; CRM</w:t>
            </w:r>
          </w:p>
        </w:tc>
        <w:tc>
          <w:tcPr>
            <w:tcW w:type="dxa" w:w="2304"/>
          </w:tcPr>
          <w:p>
            <w:r>
              <w:t>Assign &amp; approve</w:t>
            </w:r>
          </w:p>
        </w:tc>
        <w:tc>
          <w:tcPr>
            <w:tcW w:type="dxa" w:w="5616"/>
          </w:tcPr>
          <w:p>
            <w:r>
              <w:t>Unassigned pool, manual + automatic assignment, deviation views</w:t>
            </w:r>
          </w:p>
        </w:tc>
      </w:tr>
      <w:tr>
        <w:tc>
          <w:tcPr>
            <w:tcW w:type="dxa" w:w="1440"/>
          </w:tcPr>
          <w:p>
            <w:r>
              <w:t>Clinic floor</w:t>
            </w:r>
          </w:p>
        </w:tc>
        <w:tc>
          <w:tcPr>
            <w:tcW w:type="dxa" w:w="2304"/>
          </w:tcPr>
          <w:p>
            <w:r>
              <w:t>Reception</w:t>
            </w:r>
          </w:p>
        </w:tc>
        <w:tc>
          <w:tcPr>
            <w:tcW w:type="dxa" w:w="5616"/>
          </w:tcPr>
          <w:p>
            <w:r>
              <w:t>Expected appointments, check-in, desk payments, appointment reminders</w:t>
            </w:r>
          </w:p>
        </w:tc>
      </w:tr>
      <w:tr>
        <w:tc>
          <w:tcPr>
            <w:tcW w:type="dxa" w:w="1440"/>
          </w:tcPr>
          <w:p>
            <w:r>
              <w:t>Clinic floor</w:t>
            </w:r>
          </w:p>
        </w:tc>
        <w:tc>
          <w:tcPr>
            <w:tcW w:type="dxa" w:w="2304"/>
          </w:tcPr>
          <w:p>
            <w:r>
              <w:t>Screening</w:t>
            </w:r>
          </w:p>
        </w:tc>
        <w:tc>
          <w:tcPr>
            <w:tcW w:type="dxa" w:w="5616"/>
          </w:tcPr>
          <w:p>
            <w:r>
              <w:t>Vitals capture (BP, pulse, SpO2, glucose, BMI)</w:t>
            </w:r>
          </w:p>
        </w:tc>
      </w:tr>
      <w:tr>
        <w:tc>
          <w:tcPr>
            <w:tcW w:type="dxa" w:w="1440"/>
          </w:tcPr>
          <w:p>
            <w:r>
              <w:t>Clinic floor</w:t>
            </w:r>
          </w:p>
        </w:tc>
        <w:tc>
          <w:tcPr>
            <w:tcW w:type="dxa" w:w="2304"/>
          </w:tcPr>
          <w:p>
            <w:r>
              <w:t>Blood test</w:t>
            </w:r>
          </w:p>
        </w:tc>
        <w:tc>
          <w:tcPr>
            <w:tcW w:type="dxa" w:w="5616"/>
          </w:tcPr>
          <w:p>
            <w:r>
              <w:t>Catalogue, orders, coupons, Thyrocare reconciliation</w:t>
            </w:r>
          </w:p>
        </w:tc>
      </w:tr>
      <w:tr>
        <w:tc>
          <w:tcPr>
            <w:tcW w:type="dxa" w:w="1440"/>
          </w:tcPr>
          <w:p>
            <w:r>
              <w:t>Clinic floor</w:t>
            </w:r>
          </w:p>
        </w:tc>
        <w:tc>
          <w:tcPr>
            <w:tcW w:type="dxa" w:w="2304"/>
          </w:tcPr>
          <w:p>
            <w:r>
              <w:t>Physiotherapy</w:t>
            </w:r>
          </w:p>
        </w:tc>
        <w:tc>
          <w:tcPr>
            <w:tcW w:type="dxa" w:w="5616"/>
          </w:tcPr>
          <w:p>
            <w:r>
              <w:t>Physio consult recording, session plans, pricing</w:t>
            </w:r>
          </w:p>
        </w:tc>
      </w:tr>
      <w:tr>
        <w:tc>
          <w:tcPr>
            <w:tcW w:type="dxa" w:w="1440"/>
          </w:tcPr>
          <w:p>
            <w:r>
              <w:t>Clinic floor</w:t>
            </w:r>
          </w:p>
        </w:tc>
        <w:tc>
          <w:tcPr>
            <w:tcW w:type="dxa" w:w="2304"/>
          </w:tcPr>
          <w:p>
            <w:r>
              <w:t>Recordings</w:t>
            </w:r>
          </w:p>
        </w:tc>
        <w:tc>
          <w:tcPr>
            <w:tcW w:type="dxa" w:w="5616"/>
          </w:tcPr>
          <w:p>
            <w:r>
              <w:t>All office-visit and Zoom recordings, role-scoped</w:t>
            </w:r>
          </w:p>
        </w:tc>
      </w:tr>
      <w:tr>
        <w:tc>
          <w:tcPr>
            <w:tcW w:type="dxa" w:w="1440"/>
          </w:tcPr>
          <w:p>
            <w:r>
              <w:t>BDM</w:t>
            </w:r>
          </w:p>
        </w:tc>
        <w:tc>
          <w:tcPr>
            <w:tcW w:type="dxa" w:w="2304"/>
          </w:tcPr>
          <w:p>
            <w:r>
              <w:t>BDM Requisition</w:t>
            </w:r>
          </w:p>
        </w:tc>
        <w:tc>
          <w:tcPr>
            <w:tcW w:type="dxa" w:w="5616"/>
          </w:tcPr>
          <w:p>
            <w:r>
              <w:t>Approval queue (enrolments + assessment edits) and the Direct Upload bulk updater</w:t>
            </w:r>
          </w:p>
        </w:tc>
      </w:tr>
      <w:tr>
        <w:tc>
          <w:tcPr>
            <w:tcW w:type="dxa" w:w="1440"/>
          </w:tcPr>
          <w:p>
            <w:r>
              <w:t>Finance</w:t>
            </w:r>
          </w:p>
        </w:tc>
        <w:tc>
          <w:tcPr>
            <w:tcW w:type="dxa" w:w="2304"/>
          </w:tcPr>
          <w:p>
            <w:r>
              <w:t>Accounts</w:t>
            </w:r>
          </w:p>
        </w:tc>
        <w:tc>
          <w:tcPr>
            <w:tcW w:type="dxa" w:w="5616"/>
          </w:tcPr>
          <w:p>
            <w:r>
              <w:t>Revenue, outstanding, refunds, Thyrocare &amp; Physio payouts</w:t>
            </w:r>
          </w:p>
        </w:tc>
      </w:tr>
      <w:tr>
        <w:tc>
          <w:tcPr>
            <w:tcW w:type="dxa" w:w="1440"/>
          </w:tcPr>
          <w:p>
            <w:r>
              <w:t>Finance</w:t>
            </w:r>
          </w:p>
        </w:tc>
        <w:tc>
          <w:tcPr>
            <w:tcW w:type="dxa" w:w="2304"/>
          </w:tcPr>
          <w:p>
            <w:r>
              <w:t>Reports</w:t>
            </w:r>
          </w:p>
        </w:tc>
        <w:tc>
          <w:tcPr>
            <w:tcW w:type="dxa" w:w="5616"/>
          </w:tcPr>
          <w:p>
            <w:r>
              <w:t>The Admin Report (period/person views, saved views, export)</w:t>
            </w:r>
          </w:p>
        </w:tc>
      </w:tr>
      <w:tr>
        <w:tc>
          <w:tcPr>
            <w:tcW w:type="dxa" w:w="1440"/>
          </w:tcPr>
          <w:p>
            <w:r>
              <w:t>Marketing</w:t>
            </w:r>
          </w:p>
        </w:tc>
        <w:tc>
          <w:tcPr>
            <w:tcW w:type="dxa" w:w="2304"/>
          </w:tcPr>
          <w:p>
            <w:r>
              <w:t>Campaign Tracker</w:t>
            </w:r>
          </w:p>
        </w:tc>
        <w:tc>
          <w:tcPr>
            <w:tcW w:type="dxa" w:w="5616"/>
          </w:tcPr>
          <w:p>
            <w:r>
              <w:t>Meta spend, funnel, CPL/CPA/ROAS</w:t>
            </w:r>
          </w:p>
        </w:tc>
      </w:tr>
      <w:tr>
        <w:tc>
          <w:tcPr>
            <w:tcW w:type="dxa" w:w="1440"/>
          </w:tcPr>
          <w:p>
            <w:r>
              <w:t>Marketing</w:t>
            </w:r>
          </w:p>
        </w:tc>
        <w:tc>
          <w:tcPr>
            <w:tcW w:type="dxa" w:w="2304"/>
          </w:tcPr>
          <w:p>
            <w:r>
              <w:t>Leads View</w:t>
            </w:r>
          </w:p>
        </w:tc>
        <w:tc>
          <w:tcPr>
            <w:tcW w:type="dxa" w:w="5616"/>
          </w:tcPr>
          <w:p>
            <w:r>
              <w:t>Marketing-side lead browser</w:t>
            </w:r>
          </w:p>
        </w:tc>
      </w:tr>
      <w:tr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2304"/>
          </w:tcPr>
          <w:p>
            <w:r>
              <w:t>Settings &amp; masters</w:t>
            </w:r>
          </w:p>
        </w:tc>
        <w:tc>
          <w:tcPr>
            <w:tcW w:type="dxa" w:w="5616"/>
          </w:tcPr>
          <w:p>
            <w:r>
              <w:t>Users, roles &amp; permissions, services, pricing masters, advisor targets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2304"/>
          </w:tcPr>
          <w:p>
            <w:r>
              <w:t>Collect payment</w:t>
            </w:r>
          </w:p>
        </w:tc>
        <w:tc>
          <w:tcPr>
            <w:tcW w:type="dxa" w:w="5616"/>
          </w:tcPr>
          <w:p>
            <w:r>
              <w:t>Payment-collection sub-screen (Reception / Blood test)</w:t>
            </w:r>
          </w:p>
        </w:tc>
      </w:tr>
    </w:tbl>
    <w:p/>
    <w:p>
      <w:pPr>
        <w:pStyle w:val="Heading1"/>
      </w:pPr>
      <w:r>
        <w:rPr>
          <w:color w:val="0F6E52"/>
        </w:rPr>
        <w:t>4. The lead lifecycle (end to end)</w:t>
      </w:r>
    </w:p>
    <w:p>
      <w:pPr>
        <w:pStyle w:val="ListNumber"/>
      </w:pPr>
      <w:r>
        <w:t>Acquire — Meta Lead Ads sync (Graph API v21) pulls leads from allow-listed forms/ad accounts; CSV import and walk-in/manual entry cover the rest. Deduplication by Meta lead id; a sync never deletes a worked lead.</w:t>
      </w:r>
    </w:p>
    <w:p>
      <w:pPr>
        <w:pStyle w:val="ListNumber"/>
      </w:pPr>
      <w:r>
        <w:t>Assign — new leads are auto-assigned the moment they arrive, in weighted round-robin turns across advisors with a daily target (turn size ≈ target/4), continuing from a persistent rotation pointer. Manual assignment is never blocked and counts toward the same daily number. Only today's leads auto-assign; a Super-Admin switch can pause automation by date.</w:t>
      </w:r>
    </w:p>
    <w:p>
      <w:pPr>
        <w:pStyle w:val="ListNumber"/>
      </w:pPr>
      <w:r>
        <w:t>Work — the advisor calls (Tata Smartflo click-to-call, auto-captured with recording), dispositions (24 status codes), plans follow-ups (date &amp; time), and books the appointment on the slot board. Follow-up reminders ring only for the owner of the lead and clear the moment the lead is demonstrably handled — on every device.</w:t>
      </w:r>
    </w:p>
    <w:p>
      <w:pPr>
        <w:pStyle w:val="ListNumber"/>
      </w:pPr>
      <w:r>
        <w:t>Visit — Reception checks the client in (visited_at stamp), Screening captures vitals, and the appointment's coach takes over.</w:t>
      </w:r>
    </w:p>
    <w:p>
      <w:pPr>
        <w:pStyle w:val="ListNumber"/>
      </w:pPr>
      <w:r>
        <w:t>Assess — the Health Coach's assessment opens only after the office-visit recording starts; recordings are crash-proof (3-second chunks; recover-and-save after any interruption). A saved assessment locks; re-editing requires a BDM-approved edit request.</w:t>
      </w:r>
    </w:p>
    <w:p>
      <w:pPr>
        <w:pStyle w:val="ListNumber"/>
      </w:pPr>
      <w:r>
        <w:t>Approve &amp; enrol — the coach freezes the deal (program, prices, payment method, proofs) into a BDM request. Approval is THE enrolment event: it stamps enrolled_at, records the program level (L1 / L2 / L1 + L2) durably — enforced at the database as well — and notifies every open screen.</w:t>
      </w:r>
    </w:p>
    <w:p>
      <w:pPr>
        <w:pStyle w:val="ListNumber"/>
      </w:pPr>
      <w:r>
        <w:t>Collect — Full, 2× instalment, Advance or EMI (financier) flows; payment integrity rules below. Blood test and Physio have their own desk flows and partner reconciliation.</w:t>
      </w:r>
    </w:p>
    <w:p>
      <w:pPr>
        <w:pStyle w:val="ListNumber"/>
      </w:pPr>
      <w:r>
        <w:t>Report — every action lands in the activity log; dashboards and the Admin Report read one metric dictionary (§7).</w:t>
      </w:r>
    </w:p>
    <w:p>
      <w:pPr>
        <w:pStyle w:val="Heading1"/>
      </w:pPr>
      <w:r>
        <w:rPr>
          <w:color w:val="0F6E52"/>
        </w:rPr>
        <w:t>5. Functional requirements and locked business rules</w:t>
      </w:r>
    </w:p>
    <w:p>
      <w:pPr>
        <w:pStyle w:val="Heading2"/>
      </w:pPr>
      <w:r>
        <w:rPr>
          <w:color w:val="224438"/>
        </w:rPr>
        <w:t>5.1 Lead intake &amp; assignment</w:t>
      </w:r>
    </w:p>
    <w:p>
      <w:pPr>
        <w:pStyle w:val="ListBullet"/>
      </w:pPr>
      <w:r>
        <w:t>FR-1  Meta sync pulls only allow-listed forms/accounts; scope lives in code (deploy-controlled), not per-machine configuration.</w:t>
      </w:r>
    </w:p>
    <w:p>
      <w:pPr>
        <w:pStyle w:val="ListBullet"/>
      </w:pPr>
      <w:r>
        <w:t>FR-2  A lead that has ever been worked (assigned, pooled, dispositioned) is never deleted by a sync prune; prunes are skipped entirely when a crawl looks partial.</w:t>
      </w:r>
    </w:p>
    <w:p>
      <w:pPr>
        <w:pStyle w:val="ListBullet"/>
      </w:pPr>
      <w:r>
        <w:t>FR-3  Auto-assignment: today's unassigned leads only; weighted round-robin (turn ≈ daily-target/4) with a database-persisted rotation pointer so the same advisor never keeps receiving the first leads; targets are hard caps; leftovers stay pooled for manual work. Preview shows the exact deal and rotation before applying.</w:t>
      </w:r>
    </w:p>
    <w:p>
      <w:pPr>
        <w:pStyle w:val="ListBullet"/>
      </w:pPr>
      <w:r>
        <w:t>FR-4  Names are people: advisor matching is case-sensitive and exact ("Deepak" and "deepak" are different staff).</w:t>
      </w:r>
    </w:p>
    <w:p>
      <w:pPr>
        <w:pStyle w:val="ListBullet"/>
      </w:pPr>
      <w:r>
        <w:t>FR-5  Assigning by any path sets the visibility flags (is_assigned, leaves the pool) so the lead appears in the advisor's book instantly, without a refresh (live broadcast).</w:t>
      </w:r>
    </w:p>
    <w:p>
      <w:pPr>
        <w:pStyle w:val="Heading2"/>
      </w:pPr>
      <w:r>
        <w:rPr>
          <w:color w:val="224438"/>
        </w:rPr>
        <w:t>5.2 Direct Upload (bulk lead updater)</w:t>
      </w:r>
    </w:p>
    <w:p>
      <w:pPr>
        <w:pStyle w:val="ListBullet"/>
      </w:pPr>
      <w:r>
        <w:t>FR-6  Update-and-create from CSV with preview-then-confirm; the server re-analyses the file at apply time (a stale preview can never write something different).</w:t>
      </w:r>
    </w:p>
    <w:p>
      <w:pPr>
        <w:pStyle w:val="ListBullet"/>
      </w:pPr>
      <w:r>
        <w:t>FR-7  A blank cell always keeps the existing value; clearing requires the explicit #CLEAR token.</w:t>
      </w:r>
    </w:p>
    <w:p>
      <w:pPr>
        <w:pStyle w:val="ListBullet"/>
      </w:pPr>
      <w:r>
        <w:t>FR-8  Matching is lead-id first, phone fallback; a phone shared by two leads is refused, never guessed; unknown columns are reported and ignored; unreadable values skip the cell, not the row.</w:t>
      </w:r>
    </w:p>
    <w:p>
      <w:pPr>
        <w:pStyle w:val="ListBullet"/>
      </w:pPr>
      <w:r>
        <w:t>FR-9  Advisor / coach / status spellings are normalised to the app's canon; day-first dates (05-08-2026 = 5 August); every applied batch writes a field-level old→new audit trail with an Upload history view.</w:t>
      </w:r>
    </w:p>
    <w:p>
      <w:pPr>
        <w:pStyle w:val="Heading2"/>
      </w:pPr>
      <w:r>
        <w:rPr>
          <w:color w:val="224438"/>
        </w:rPr>
        <w:t>5.3 Calling, follow-ups &amp; notifications</w:t>
      </w:r>
    </w:p>
    <w:p>
      <w:pPr>
        <w:pStyle w:val="ListBullet"/>
      </w:pPr>
      <w:r>
        <w:t>FR-10  Click-to-call from the app is captured instantly (placeholder row at dial time) and enriched by the telephony webhook; calls made outside the app (Smartflo portal lines not registered to the webhook) are by design not imported into lead history.</w:t>
      </w:r>
    </w:p>
    <w:p>
      <w:pPr>
        <w:pStyle w:val="ListBullet"/>
      </w:pPr>
      <w:r>
        <w:t>FR-11  The follow-up bubble tells the truth: it counts only genuinely pending, role-owned leads for today; a call, a follow-up note or a status change after the planned time clears it everywhere (database-backed, cross-device), enrolled leads never ring, and the count always equals the Due-Today ring.</w:t>
      </w:r>
    </w:p>
    <w:p>
      <w:pPr>
        <w:pStyle w:val="ListBullet"/>
      </w:pPr>
      <w:r>
        <w:t>FR-12  Reception's appointment reminders are separate and clinic-wide; advisor follow-up reminders never reach Reception.</w:t>
      </w:r>
    </w:p>
    <w:p>
      <w:pPr>
        <w:pStyle w:val="Heading2"/>
      </w:pPr>
      <w:r>
        <w:rPr>
          <w:color w:val="224438"/>
        </w:rPr>
        <w:t>5.4 Appointments &amp; the slot board</w:t>
      </w:r>
    </w:p>
    <w:p>
      <w:pPr>
        <w:pStyle w:val="ListBullet"/>
      </w:pPr>
      <w:r>
        <w:t>FR-13  The advisor's slot board reads the live appointment row: a Reception reschedule or coach change appears on the advisor's screen without refresh.</w:t>
      </w:r>
    </w:p>
    <w:p>
      <w:pPr>
        <w:pStyle w:val="ListBullet"/>
      </w:pPr>
      <w:r>
        <w:t>FR-14  Appointment Fixed means the day the appointment was BOOKED; a later visit or cancellation never rewrites that day's count (cancelled bookings do not count).</w:t>
      </w:r>
    </w:p>
    <w:p>
      <w:pPr>
        <w:pStyle w:val="Heading2"/>
      </w:pPr>
      <w:r>
        <w:rPr>
          <w:color w:val="224438"/>
        </w:rPr>
        <w:t>5.5 Health Coach: assessment, recording, approval</w:t>
      </w:r>
    </w:p>
    <w:p>
      <w:pPr>
        <w:pStyle w:val="ListBullet"/>
      </w:pPr>
      <w:r>
        <w:t>FR-15  The assessment is gated behind an office-visit recording; recording chunks persist to device storage every 3 seconds; navigation never stops a recording (a floating REC pill with Stop rides every screen); interrupted recordings offer Recover &amp; save on the same device; failed uploads are kept and recoverable.</w:t>
      </w:r>
    </w:p>
    <w:p>
      <w:pPr>
        <w:pStyle w:val="ListBullet"/>
      </w:pPr>
      <w:r>
        <w:t>FR-16  A saved assessment is read-only immediately after Save (no refresh needed); one BDM-approved edit request unlocks exactly one further save.</w:t>
      </w:r>
    </w:p>
    <w:p>
      <w:pPr>
        <w:pStyle w:val="ListBullet"/>
      </w:pPr>
      <w:r>
        <w:t>FR-17  BDM approval is the enrolment event: stamps enrolled_at (stable — never re-stamped), the call status, and the program level durably on the lead; a database trigger guarantees the level even from older app builds; EMI proofs and all three attachment slots persist and travel to the BDM as viewer-signed links.</w:t>
      </w:r>
    </w:p>
    <w:p>
      <w:pPr>
        <w:pStyle w:val="ListBullet"/>
      </w:pPr>
      <w:r>
        <w:t>FR-18  EMI is a financier flow: the down payment is optional; no in-house payment row is created by EMI itself.</w:t>
      </w:r>
    </w:p>
    <w:p>
      <w:pPr>
        <w:pStyle w:val="Heading2"/>
      </w:pPr>
      <w:r>
        <w:rPr>
          <w:color w:val="224438"/>
        </w:rPr>
        <w:t>5.6 Payments &amp; finance</w:t>
      </w:r>
    </w:p>
    <w:p>
      <w:pPr>
        <w:pStyle w:val="ListBullet"/>
      </w:pPr>
      <w:r>
        <w:t>FR-19  Payment integrity: 'Fully Paid' = an explicit full payment OR both instalments paid — never inferred from a missing due row; duplicate collections are blocked (idempotent).</w:t>
      </w:r>
    </w:p>
    <w:p>
      <w:pPr>
        <w:pStyle w:val="ListBullet"/>
      </w:pPr>
      <w:r>
        <w:t>FR-20  Payment statuses gate writing: amounts persist as received only when the status says money was collected; selecting a status alone never enrols or records money — saving does.</w:t>
      </w:r>
    </w:p>
    <w:p>
      <w:pPr>
        <w:pStyle w:val="ListBullet"/>
      </w:pPr>
      <w:r>
        <w:t>FR-21  Blood test desk shows the customer conversation only (Total − Discount = Final payable); Thyrocare cost &amp; margin are still computed and stored for Accounts reconciliation but not displayed at the desk.</w:t>
      </w:r>
    </w:p>
    <w:p>
      <w:pPr>
        <w:pStyle w:val="ListBullet"/>
      </w:pPr>
      <w:r>
        <w:t>FR-22  Coupons validate against the shared coupon master (active window, usage caps) and count their use on collection.</w:t>
      </w:r>
    </w:p>
    <w:p>
      <w:pPr>
        <w:pStyle w:val="ListBullet"/>
      </w:pPr>
      <w:r>
        <w:t>FR-23  Refunds are a two-step console (process → payout → history) with amounts re-typed to confirm.</w:t>
      </w:r>
    </w:p>
    <w:p>
      <w:pPr>
        <w:pStyle w:val="Heading2"/>
      </w:pPr>
      <w:r>
        <w:rPr>
          <w:color w:val="224438"/>
        </w:rPr>
        <w:t>5.7 Access &amp; security requirements</w:t>
      </w:r>
    </w:p>
    <w:p>
      <w:pPr>
        <w:pStyle w:val="ListBullet"/>
      </w:pPr>
      <w:r>
        <w:t>FR-24  All API data access requires a signed session; password hashes never leave the server; the login screen never flashes for a signed-in refresh (pre-paint boot gate held until the app is fully painted).</w:t>
      </w:r>
    </w:p>
    <w:p>
      <w:pPr>
        <w:pStyle w:val="ListBullet"/>
      </w:pPr>
      <w:r>
        <w:t>FR-25  Every stored file link (recordings, proofs, reports, attachments) is re-signed for the current viewer at render; files are never publicly addressable.</w:t>
      </w:r>
    </w:p>
    <w:p>
      <w:pPr>
        <w:pStyle w:val="ListBullet"/>
      </w:pPr>
      <w:r>
        <w:t>FR-26  The staging database is reachable only through an SSH tunnel (port 5432 is never open in any firewall); production credentials live only in server-side configuration.</w:t>
      </w:r>
    </w:p>
    <w:p>
      <w:pPr>
        <w:pStyle w:val="Heading1"/>
      </w:pPr>
      <w:r>
        <w:rPr>
          <w:color w:val="0F6E52"/>
        </w:rPr>
        <w:t>6. Reporting requirements</w:t>
      </w:r>
    </w:p>
    <w:p>
      <w:r>
        <w:rPr>
          <w:b/>
          <w:i w:val="0"/>
        </w:rPr>
        <w:t>Two reporting surfaces — the Advisor dashboard (operational) and the Admin Report (managerial: period/person views, saved views, column chooser, CSV export) — plus the Campaign Tracker (marketing) and the Coach dashboard (clinical queue). The governing requirement:</w:t>
      </w:r>
    </w:p>
    <w:p>
      <w:r>
        <w:rPr>
          <w:b w:val="0"/>
          <w:i w:val="0"/>
        </w:rPr>
        <w:t>Any metric that appears on two surfaces must be computed from the same rule and match to the day. Validated end-to-end on 24 Aug 2026: leads, bookings, confirmations, visits, enrolments, statuses and revenue reconcile exactly across Report = Advisor = Coach = database.</w:t>
      </w:r>
    </w:p>
    <w:p>
      <w:pPr>
        <w:pStyle w:val="Heading1"/>
      </w:pPr>
      <w:r>
        <w:rPr>
          <w:color w:val="0F6E52"/>
        </w:rPr>
        <w:t>7. Metric dictionary (canonical date rules)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744"/>
          </w:tcPr>
          <w:p>
            <w:r>
              <w:rPr>
                <w:b/>
              </w:rPr>
              <w:t>Counts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Dated by</w:t>
            </w:r>
          </w:p>
        </w:tc>
      </w:tr>
      <w:tr>
        <w:tc>
          <w:tcPr>
            <w:tcW w:type="dxa" w:w="2736"/>
          </w:tcPr>
          <w:p>
            <w:r>
              <w:t>Total Leads</w:t>
            </w:r>
          </w:p>
        </w:tc>
        <w:tc>
          <w:tcPr>
            <w:tcW w:type="dxa" w:w="3744"/>
          </w:tcPr>
          <w:p>
            <w:r>
              <w:t>Every lead (assigned or not) matching filters</w:t>
            </w:r>
          </w:p>
        </w:tc>
        <w:tc>
          <w:tcPr>
            <w:tcW w:type="dxa" w:w="2880"/>
          </w:tcPr>
          <w:p>
            <w:r>
              <w:t>Lead created date (IST)</w:t>
            </w:r>
          </w:p>
        </w:tc>
      </w:tr>
      <w:tr>
        <w:tc>
          <w:tcPr>
            <w:tcW w:type="dxa" w:w="2736"/>
          </w:tcPr>
          <w:p>
            <w:r>
              <w:t>Appt Fixed – Direct / Zoom</w:t>
            </w:r>
          </w:p>
        </w:tc>
        <w:tc>
          <w:tcPr>
            <w:tcW w:type="dxa" w:w="3744"/>
          </w:tcPr>
          <w:p>
            <w:r>
              <w:t>Distinct leads with a non-cancelled booking</w:t>
            </w:r>
          </w:p>
        </w:tc>
        <w:tc>
          <w:tcPr>
            <w:tcW w:type="dxa" w:w="2880"/>
          </w:tcPr>
          <w:p>
            <w:r>
              <w:t>The day the appointment was BOOKED</w:t>
            </w:r>
          </w:p>
        </w:tc>
      </w:tr>
      <w:tr>
        <w:tc>
          <w:tcPr>
            <w:tcW w:type="dxa" w:w="2736"/>
          </w:tcPr>
          <w:p>
            <w:r>
              <w:t>Confirmed</w:t>
            </w:r>
          </w:p>
        </w:tc>
        <w:tc>
          <w:tcPr>
            <w:tcW w:type="dxa" w:w="3744"/>
          </w:tcPr>
          <w:p>
            <w:r>
              <w:t>Advisor's Confirm stamp</w:t>
            </w:r>
          </w:p>
        </w:tc>
        <w:tc>
          <w:tcPr>
            <w:tcW w:type="dxa" w:w="2880"/>
          </w:tcPr>
          <w:p>
            <w:r>
              <w:t>confirmed_at day</w:t>
            </w:r>
          </w:p>
        </w:tc>
      </w:tr>
      <w:tr>
        <w:tc>
          <w:tcPr>
            <w:tcW w:type="dxa" w:w="2736"/>
          </w:tcPr>
          <w:p>
            <w:r>
              <w:t>Visited</w:t>
            </w:r>
          </w:p>
        </w:tc>
        <w:tc>
          <w:tcPr>
            <w:tcW w:type="dxa" w:w="3744"/>
          </w:tcPr>
          <w:p>
            <w:r>
              <w:t>Client check-ins</w:t>
            </w:r>
          </w:p>
        </w:tc>
        <w:tc>
          <w:tcPr>
            <w:tcW w:type="dxa" w:w="2880"/>
          </w:tcPr>
          <w:p>
            <w:r>
              <w:t>visited_at (check-in stamp) day</w:t>
            </w:r>
          </w:p>
        </w:tc>
      </w:tr>
      <w:tr>
        <w:tc>
          <w:tcPr>
            <w:tcW w:type="dxa" w:w="2736"/>
          </w:tcPr>
          <w:p>
            <w:r>
              <w:t>Enrolled</w:t>
            </w:r>
          </w:p>
        </w:tc>
        <w:tc>
          <w:tcPr>
            <w:tcW w:type="dxa" w:w="3744"/>
          </w:tcPr>
          <w:p>
            <w:r>
              <w:t>Enrolment events (canonical enrolled_at)</w:t>
            </w:r>
          </w:p>
        </w:tc>
        <w:tc>
          <w:tcPr>
            <w:tcW w:type="dxa" w:w="2880"/>
          </w:tcPr>
          <w:p>
            <w:r>
              <w:t>enrolled_at day</w:t>
            </w:r>
          </w:p>
        </w:tc>
      </w:tr>
      <w:tr>
        <w:tc>
          <w:tcPr>
            <w:tcW w:type="dxa" w:w="2736"/>
          </w:tcPr>
          <w:p>
            <w:r>
              <w:t>Statuses Set (per disposition)</w:t>
            </w:r>
          </w:p>
        </w:tc>
        <w:tc>
          <w:tcPr>
            <w:tcW w:type="dxa" w:w="3744"/>
          </w:tcPr>
          <w:p>
            <w:r>
              <w:t>Leads whose call status was changed, by current status</w:t>
            </w:r>
          </w:p>
        </w:tc>
        <w:tc>
          <w:tcPr>
            <w:tcW w:type="dxa" w:w="2880"/>
          </w:tcPr>
          <w:p>
            <w:r>
              <w:t>The day the status was set (activity log)</w:t>
            </w:r>
          </w:p>
        </w:tc>
      </w:tr>
      <w:tr>
        <w:tc>
          <w:tcPr>
            <w:tcW w:type="dxa" w:w="2736"/>
          </w:tcPr>
          <w:p>
            <w:r>
              <w:t>Screened</w:t>
            </w:r>
          </w:p>
        </w:tc>
        <w:tc>
          <w:tcPr>
            <w:tcW w:type="dxa" w:w="3744"/>
          </w:tcPr>
          <w:p>
            <w:r>
              <w:t>Screening completions</w:t>
            </w:r>
          </w:p>
        </w:tc>
        <w:tc>
          <w:tcPr>
            <w:tcW w:type="dxa" w:w="2880"/>
          </w:tcPr>
          <w:p>
            <w:r>
              <w:t>screened_at day</w:t>
            </w:r>
          </w:p>
        </w:tc>
      </w:tr>
      <w:tr>
        <w:tc>
          <w:tcPr>
            <w:tcW w:type="dxa" w:w="2736"/>
          </w:tcPr>
          <w:p>
            <w:r>
              <w:t>Revenue billed / collected / outstanding</w:t>
            </w:r>
          </w:p>
        </w:tc>
        <w:tc>
          <w:tcPr>
            <w:tcW w:type="dxa" w:w="3744"/>
          </w:tcPr>
          <w:p>
            <w:r>
              <w:t>Payment rows (per service; net of refunds)</w:t>
            </w:r>
          </w:p>
        </w:tc>
        <w:tc>
          <w:tcPr>
            <w:tcW w:type="dxa" w:w="2880"/>
          </w:tcPr>
          <w:p>
            <w:r>
              <w:t>Payment date</w:t>
            </w:r>
          </w:p>
        </w:tc>
      </w:tr>
      <w:tr>
        <w:tc>
          <w:tcPr>
            <w:tcW w:type="dxa" w:w="2736"/>
          </w:tcPr>
          <w:p>
            <w:r>
              <w:t>Full / Part Paid, Instalment, EMI, L1/L2/Both</w:t>
            </w:r>
          </w:p>
        </w:tc>
        <w:tc>
          <w:tcPr>
            <w:tcW w:type="dxa" w:w="3744"/>
          </w:tcPr>
          <w:p>
            <w:r>
              <w:t>Paying leads by paid rows' program tags</w:t>
            </w:r>
          </w:p>
        </w:tc>
        <w:tc>
          <w:tcPr>
            <w:tcW w:type="dxa" w:w="2880"/>
          </w:tcPr>
          <w:p>
            <w:r>
              <w:t>Payment date</w:t>
            </w:r>
          </w:p>
        </w:tc>
      </w:tr>
      <w:tr>
        <w:tc>
          <w:tcPr>
            <w:tcW w:type="dxa" w:w="2736"/>
          </w:tcPr>
          <w:p>
            <w:r>
              <w:t>Follow-ups Due/Overdue/Done</w:t>
            </w:r>
          </w:p>
        </w:tc>
        <w:tc>
          <w:tcPr>
            <w:tcW w:type="dxa" w:w="3744"/>
          </w:tcPr>
          <w:p>
            <w:r>
              <w:t>Planned follow-ups vs demonstrable action after the planned time</w:t>
            </w:r>
          </w:p>
        </w:tc>
        <w:tc>
          <w:tcPr>
            <w:tcW w:type="dxa" w:w="2880"/>
          </w:tcPr>
          <w:p>
            <w:r>
              <w:t>Planned date / action date</w:t>
            </w:r>
          </w:p>
        </w:tc>
      </w:tr>
      <w:tr>
        <w:tc>
          <w:tcPr>
            <w:tcW w:type="dxa" w:w="2736"/>
          </w:tcPr>
          <w:p>
            <w:r>
              <w:t>Lead-state columns (sugar, consultation, location)</w:t>
            </w:r>
          </w:p>
        </w:tc>
        <w:tc>
          <w:tcPr>
            <w:tcW w:type="dxa" w:w="3744"/>
          </w:tcPr>
          <w:p>
            <w:r>
              <w:t>Snapshot of the lead's current state</w:t>
            </w:r>
          </w:p>
        </w:tc>
        <w:tc>
          <w:tcPr>
            <w:tcW w:type="dxa" w:w="2880"/>
          </w:tcPr>
          <w:p>
            <w:r>
              <w:t>Latest-activity day (report-only; no cross-surface twin)</w:t>
            </w:r>
          </w:p>
        </w:tc>
      </w:tr>
    </w:tbl>
    <w:p/>
    <w:p>
      <w:r>
        <w:rPr>
          <w:b w:val="0"/>
          <w:i/>
        </w:rPr>
        <w:t>Timezone: every day boundary is an IST (Asia/Kolkata) day. A lead lands in exactly one bucket per rule; nothing is double-counted. The Date basis toggle (Created ↔ Activity) is available on the Admin Report; captions always state each column group's basis.</w:t>
      </w:r>
    </w:p>
    <w:p>
      <w:pPr>
        <w:pStyle w:val="Heading1"/>
      </w:pPr>
      <w:r>
        <w:rPr>
          <w:color w:val="0F6E52"/>
        </w:rPr>
        <w:t>8. Integrations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3168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3888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304"/>
          </w:tcPr>
          <w:p>
            <w:r>
              <w:t>Meta Graph API v21</w:t>
            </w:r>
          </w:p>
        </w:tc>
        <w:tc>
          <w:tcPr>
            <w:tcW w:type="dxa" w:w="3168"/>
          </w:tcPr>
          <w:p>
            <w:r>
              <w:t>Pull (sync + cron token refresh)</w:t>
            </w:r>
          </w:p>
        </w:tc>
        <w:tc>
          <w:tcPr>
            <w:tcW w:type="dxa" w:w="3888"/>
          </w:tcPr>
          <w:p>
            <w:r>
              <w:t>Lead Ads capture, campaign spend &amp; insights (Campaign Tracker)</w:t>
            </w:r>
          </w:p>
        </w:tc>
      </w:tr>
      <w:tr>
        <w:tc>
          <w:tcPr>
            <w:tcW w:type="dxa" w:w="2304"/>
          </w:tcPr>
          <w:p>
            <w:r>
              <w:t>Tata Smartflo</w:t>
            </w:r>
          </w:p>
        </w:tc>
        <w:tc>
          <w:tcPr>
            <w:tcW w:type="dxa" w:w="3168"/>
          </w:tcPr>
          <w:p>
            <w:r>
              <w:t>Push (click-to-call) + webhook (call end) + pull (CDR sync)</w:t>
            </w:r>
          </w:p>
        </w:tc>
        <w:tc>
          <w:tcPr>
            <w:tcW w:type="dxa" w:w="3888"/>
          </w:tcPr>
          <w:p>
            <w:r>
              <w:t>Telephony: per-role caller IDs, call logs, recordings</w:t>
            </w:r>
          </w:p>
        </w:tc>
      </w:tr>
      <w:tr>
        <w:tc>
          <w:tcPr>
            <w:tcW w:type="dxa" w:w="2304"/>
          </w:tcPr>
          <w:p>
            <w:r>
              <w:t>Thyrocare</w:t>
            </w:r>
          </w:p>
        </w:tc>
        <w:tc>
          <w:tcPr>
            <w:tcW w:type="dxa" w:w="3168"/>
          </w:tcPr>
          <w:p>
            <w:r>
              <w:t>Manual reconciliation</w:t>
            </w:r>
          </w:p>
        </w:tc>
        <w:tc>
          <w:tcPr>
            <w:tcW w:type="dxa" w:w="3888"/>
          </w:tcPr>
          <w:p>
            <w:r>
              <w:t>Blood-test partner costs &amp; payouts</w:t>
            </w:r>
          </w:p>
        </w:tc>
      </w:tr>
      <w:tr>
        <w:tc>
          <w:tcPr>
            <w:tcW w:type="dxa" w:w="2304"/>
          </w:tcPr>
          <w:p>
            <w:r>
              <w:t>WhatsApp</w:t>
            </w:r>
          </w:p>
        </w:tc>
        <w:tc>
          <w:tcPr>
            <w:tcW w:type="dxa" w:w="3168"/>
          </w:tcPr>
          <w:p>
            <w:r>
              <w:t>Deep links</w:t>
            </w:r>
          </w:p>
        </w:tc>
        <w:tc>
          <w:tcPr>
            <w:tcW w:type="dxa" w:w="3888"/>
          </w:tcPr>
          <w:p>
            <w:r>
              <w:t>Templated client messaging from the lead profile</w:t>
            </w:r>
          </w:p>
        </w:tc>
      </w:tr>
      <w:tr>
        <w:tc>
          <w:tcPr>
            <w:tcW w:type="dxa" w:w="2304"/>
          </w:tcPr>
          <w:p>
            <w:r>
              <w:t>Storage service (built-in)</w:t>
            </w:r>
          </w:p>
        </w:tc>
        <w:tc>
          <w:tcPr>
            <w:tcW w:type="dxa" w:w="3168"/>
          </w:tcPr>
          <w:p>
            <w:r>
              <w:t>Internal</w:t>
            </w:r>
          </w:p>
        </w:tc>
        <w:tc>
          <w:tcPr>
            <w:tcW w:type="dxa" w:w="3888"/>
          </w:tcPr>
          <w:p>
            <w:r>
              <w:t>Recordings, payment proofs, reports — token-signed per viewer</w:t>
            </w:r>
          </w:p>
        </w:tc>
      </w:tr>
    </w:tbl>
    <w:p/>
    <w:p>
      <w:pPr>
        <w:pStyle w:val="Heading1"/>
      </w:pPr>
      <w:r>
        <w:rPr>
          <w:color w:val="0F6E52"/>
        </w:rPr>
        <w:t>9. Non-functional requirements</w:t>
      </w:r>
    </w:p>
    <w:p>
      <w:pPr>
        <w:pStyle w:val="ListBullet"/>
      </w:pPr>
      <w:r>
        <w:t>Performance: first full data load ≤ ~7s on a remote-DB developer machine and faster in production (measured; slim column lists + parallel page fetches are mandatory patterns — no SELECT *, no sequential paging on the boot path). All large tables fetch paged with unique sort tiebreakers.</w:t>
      </w:r>
    </w:p>
    <w:p>
      <w:pPr>
        <w:pStyle w:val="ListBullet"/>
      </w:pPr>
      <w:r>
        <w:t>Reliability: the database schema is self-applying at server boot (41 idempotent checks incl. triggers) — a new environment needs no hand-run migrations; the gateway returns {error} instead of throwing; a failed bulk write rolls back completely.</w:t>
      </w:r>
    </w:p>
    <w:p>
      <w:pPr>
        <w:pStyle w:val="ListBullet"/>
      </w:pPr>
      <w:r>
        <w:t>Realtime: server-sent events broadcast data changes; open screens refresh without reload; same-browser tabs sync via a broadcast channel.</w:t>
      </w:r>
    </w:p>
    <w:p>
      <w:pPr>
        <w:pStyle w:val="ListBullet"/>
      </w:pPr>
      <w:r>
        <w:t>Resilience: recordings survive crashes (chunked local persistence); imports and payouts are transactional; the SSH tunnel to staging self-heals.</w:t>
      </w:r>
    </w:p>
    <w:p>
      <w:pPr>
        <w:pStyle w:val="ListBullet"/>
      </w:pPr>
      <w:r>
        <w:t>Auditability: assignments, status changes, payments, imports, approvals and refunds all write durable audit rows with actor and timestamp.</w:t>
      </w:r>
    </w:p>
    <w:p>
      <w:pPr>
        <w:pStyle w:val="ListBullet"/>
      </w:pPr>
      <w:r>
        <w:t>Compatibility: modern Chrome/Edge; microphone features require HTTPS (or localhost).</w:t>
      </w:r>
    </w:p>
    <w:p>
      <w:pPr>
        <w:pStyle w:val="Heading1"/>
      </w:pPr>
      <w:r>
        <w:rPr>
          <w:color w:val="0F6E52"/>
        </w:rPr>
        <w:t>10. Environments &amp; release process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304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2448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Database</w:t>
            </w:r>
          </w:p>
        </w:tc>
      </w:tr>
      <w:tr>
        <w:tc>
          <w:tcPr>
            <w:tcW w:type="dxa" w:w="1728"/>
          </w:tcPr>
          <w:p>
            <w:r>
              <w:t>Development</w:t>
            </w:r>
          </w:p>
        </w:tc>
        <w:tc>
          <w:tcPr>
            <w:tcW w:type="dxa" w:w="2304"/>
          </w:tcPr>
          <w:p>
            <w:r>
              <w:t>next dev :3000</w:t>
            </w:r>
          </w:p>
        </w:tc>
        <w:tc>
          <w:tcPr>
            <w:tcW w:type="dxa" w:w="2448"/>
          </w:tcPr>
          <w:p>
            <w:r>
              <w:t>tsx watch :4100</w:t>
            </w:r>
          </w:p>
        </w:tc>
        <w:tc>
          <w:tcPr>
            <w:tcW w:type="dxa" w:w="2880"/>
          </w:tcPr>
          <w:p>
            <w:r>
              <w:t>Staging Postgres via SSH tunnel (127.0.0.1:5432)</w:t>
            </w:r>
          </w:p>
        </w:tc>
      </w:tr>
      <w:tr>
        <w:tc>
          <w:tcPr>
            <w:tcW w:type="dxa" w:w="1728"/>
          </w:tcPr>
          <w:p>
            <w:r>
              <w:t>Staging DB</w:t>
            </w:r>
          </w:p>
        </w:tc>
        <w:tc>
          <w:tcPr>
            <w:tcW w:type="dxa" w:w="2304"/>
          </w:tcPr>
          <w:p>
            <w:r>
              <w:t>—</w:t>
            </w:r>
          </w:p>
        </w:tc>
        <w:tc>
          <w:tcPr>
            <w:tcW w:type="dxa" w:w="2448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Wellness_Center_staging on the staging box; SSH-tunnel-only access</w:t>
            </w:r>
          </w:p>
        </w:tc>
      </w:tr>
      <w:tr>
        <w:tc>
          <w:tcPr>
            <w:tcW w:type="dxa" w:w="1728"/>
          </w:tcPr>
          <w:p>
            <w:r>
              <w:t>Production</w:t>
            </w:r>
          </w:p>
        </w:tc>
        <w:tc>
          <w:tcPr>
            <w:tcW w:type="dxa" w:w="2304"/>
          </w:tcPr>
          <w:p>
            <w:r>
              <w:t>Static export served by the API server</w:t>
            </w:r>
          </w:p>
        </w:tc>
        <w:tc>
          <w:tcPr>
            <w:tcW w:type="dxa" w:w="2448"/>
          </w:tcPr>
          <w:p>
            <w:r>
              <w:t>Single Node process (pm2), one port</w:t>
            </w:r>
          </w:p>
        </w:tc>
        <w:tc>
          <w:tcPr>
            <w:tcW w:type="dxa" w:w="2880"/>
          </w:tcPr>
          <w:p>
            <w:r>
              <w:t>Wellness_Center_App (AWS)</w:t>
            </w:r>
          </w:p>
        </w:tc>
      </w:tr>
    </w:tbl>
    <w:p/>
    <w:p>
      <w:r>
        <w:rPr>
          <w:b w:val="0"/>
          <w:i w:val="0"/>
        </w:rPr>
        <w:t>Release: manual. git pull &amp;&amp; npm run build &amp;&amp; pm2 restart all on the production box — the build MUST include the server (a client-only deploy runs new screens on an old API; this outage class has occurred and is documented). npm run predeploy (typecheck + build + DB scan + version verify) is the pre-release gate; /version and /health report the running commit; the client shows a refresh banner when production moves ahead of an open tab.</w:t>
      </w:r>
    </w:p>
    <w:p>
      <w:pPr>
        <w:pStyle w:val="Heading1"/>
      </w:pPr>
      <w:r>
        <w:rPr>
          <w:color w:val="0F6E52"/>
        </w:rPr>
        <w:t>11. Known gaps &amp; roadmap</w:t>
      </w:r>
    </w:p>
    <w:p>
      <w:pPr>
        <w:pStyle w:val="ListBullet"/>
      </w:pPr>
      <w:r>
        <w:t>Deploy discipline: production currently trails main; one full deploy publishes the accumulated fixes (notifications truth, RBAC scoping, round-robin assignment, recording resilience, report alignment, login-flash fix).</w:t>
      </w:r>
    </w:p>
    <w:p>
      <w:pPr>
        <w:pStyle w:val="ListBullet"/>
      </w:pPr>
      <w:r>
        <w:t>CRM Active Usage card: needs session-duration tracking before it can report (placeholder states this on-screen).</w:t>
      </w:r>
    </w:p>
    <w:p>
      <w:pPr>
        <w:pStyle w:val="ListBullet"/>
      </w:pPr>
      <w:r>
        <w:t>Server-side row-level scoping: the data gateway enforces table-level access; per-role row filters are a recommended hardening (UI already scopes correctly).</w:t>
      </w:r>
    </w:p>
    <w:p>
      <w:pPr>
        <w:pStyle w:val="ListBullet"/>
      </w:pPr>
      <w:r>
        <w:t>React hydration mismatch on the Home shell: masked by the boot-gate guard; root-cause fix tracked as a separate task.</w:t>
      </w:r>
    </w:p>
    <w:p>
      <w:pPr>
        <w:pStyle w:val="ListBullet"/>
      </w:pPr>
      <w:r>
        <w:t>Positional profile persistence: advisor/coach forms save by field position — any structural form change must follow the documented capture rules (new inputs must be capture-exempt).</w:t>
      </w:r>
    </w:p>
    <w:p>
      <w:pPr>
        <w:pStyle w:val="ListBullet"/>
      </w:pPr>
      <w:r>
        <w:t>Historical data: call-status changes are only dated from 5 Aug 2026 (when the activity log shipped); older dispositions cannot be retro-dated.</w:t>
      </w:r>
    </w:p>
    <w:p>
      <w:pPr>
        <w:pStyle w:val="ListBullet"/>
      </w:pPr>
      <w:r>
        <w:t>Phase-2 module maturity: parts of Reports/analytics and some clinic-floor extensions remain to be deepened per the module-states register.</w:t>
      </w:r>
    </w:p>
    <w:p>
      <w:pPr>
        <w:pStyle w:val="Heading1"/>
      </w:pPr>
      <w:r>
        <w:rPr>
          <w:color w:val="0F6E52"/>
        </w:rPr>
        <w:t>12. Glossary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Term</w:t>
            </w:r>
          </w:p>
        </w:tc>
        <w:tc>
          <w:tcPr>
            <w:tcW w:type="dxa" w:w="69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448"/>
          </w:tcPr>
          <w:p>
            <w:r>
              <w:t>Lead</w:t>
            </w:r>
          </w:p>
        </w:tc>
        <w:tc>
          <w:tcPr>
            <w:tcW w:type="dxa" w:w="6912"/>
          </w:tcPr>
          <w:p>
            <w:r>
              <w:t>A person who expressed interest (Meta form, CSV, walk-in); one row in leads, keyed by meta_lead_id</w:t>
            </w:r>
          </w:p>
        </w:tc>
      </w:tr>
      <w:tr>
        <w:tc>
          <w:tcPr>
            <w:tcW w:type="dxa" w:w="2448"/>
          </w:tcPr>
          <w:p>
            <w:r>
              <w:t>Disposition / Call status</w:t>
            </w:r>
          </w:p>
        </w:tc>
        <w:tc>
          <w:tcPr>
            <w:tcW w:type="dxa" w:w="6912"/>
          </w:tcPr>
          <w:p>
            <w:r>
              <w:t>One of 24 canonical outcomes of working a lead (Call Back, RNR, Appointment Fixed – Direct, …)</w:t>
            </w:r>
          </w:p>
        </w:tc>
      </w:tr>
      <w:tr>
        <w:tc>
          <w:tcPr>
            <w:tcW w:type="dxa" w:w="2448"/>
          </w:tcPr>
          <w:p>
            <w:r>
              <w:t>Slot board</w:t>
            </w:r>
          </w:p>
        </w:tc>
        <w:tc>
          <w:tcPr>
            <w:tcW w:type="dxa" w:w="6912"/>
          </w:tcPr>
          <w:p>
            <w:r>
              <w:t>The advisor's appointment booking grid (per coach, per day, capacity-ruled)</w:t>
            </w:r>
          </w:p>
        </w:tc>
      </w:tr>
      <w:tr>
        <w:tc>
          <w:tcPr>
            <w:tcW w:type="dxa" w:w="2448"/>
          </w:tcPr>
          <w:p>
            <w:r>
              <w:t>L1 / L2</w:t>
            </w:r>
          </w:p>
        </w:tc>
        <w:tc>
          <w:tcPr>
            <w:tcW w:type="dxa" w:w="6912"/>
          </w:tcPr>
          <w:p>
            <w:r>
              <w:t>Diabetes program levels; 'L1 + L2' is the combined enrolment</w:t>
            </w:r>
          </w:p>
        </w:tc>
      </w:tr>
      <w:tr>
        <w:tc>
          <w:tcPr>
            <w:tcW w:type="dxa" w:w="2448"/>
          </w:tcPr>
          <w:p>
            <w:r>
              <w:t>BDM request</w:t>
            </w:r>
          </w:p>
        </w:tc>
        <w:tc>
          <w:tcPr>
            <w:tcW w:type="dxa" w:w="6912"/>
          </w:tcPr>
          <w:p>
            <w:r>
              <w:t>The frozen deal snapshot a coach sends for approval; approval = enrolment</w:t>
            </w:r>
          </w:p>
        </w:tc>
      </w:tr>
      <w:tr>
        <w:tc>
          <w:tcPr>
            <w:tcW w:type="dxa" w:w="2448"/>
          </w:tcPr>
          <w:p>
            <w:r>
              <w:t>Pool</w:t>
            </w:r>
          </w:p>
        </w:tc>
        <w:tc>
          <w:tcPr>
            <w:tcW w:type="dxa" w:w="6912"/>
          </w:tcPr>
          <w:p>
            <w:r>
              <w:t>Unassigned leads deliberately staged for assignment</w:t>
            </w:r>
          </w:p>
        </w:tc>
      </w:tr>
      <w:tr>
        <w:tc>
          <w:tcPr>
            <w:tcW w:type="dxa" w:w="2448"/>
          </w:tcPr>
          <w:p>
            <w:r>
              <w:t>Activity date rule</w:t>
            </w:r>
          </w:p>
        </w:tc>
        <w:tc>
          <w:tcPr>
            <w:tcW w:type="dxa" w:w="6912"/>
          </w:tcPr>
          <w:p>
            <w:r>
              <w:t>Every action counts on the day it happened; only Total Leads uses the created date</w:t>
            </w:r>
          </w:p>
        </w:tc>
      </w:tr>
      <w:tr>
        <w:tc>
          <w:tcPr>
            <w:tcW w:type="dxa" w:w="2448"/>
          </w:tcPr>
          <w:p>
            <w:r>
              <w:t>Boot gate</w:t>
            </w:r>
          </w:p>
        </w:tc>
        <w:tc>
          <w:tcPr>
            <w:tcW w:type="dxa" w:w="6912"/>
          </w:tcPr>
          <w:p>
            <w:r>
              <w:t>The pre-paint guard that prevents any login-screen flash for signed-in refreshes</w:t>
            </w:r>
          </w:p>
        </w:tc>
      </w:tr>
      <w:tr>
        <w:tc>
          <w:tcPr>
            <w:tcW w:type="dxa" w:w="2448"/>
          </w:tcPr>
          <w:p>
            <w:r>
              <w:t>Self-applying schema</w:t>
            </w:r>
          </w:p>
        </w:tc>
        <w:tc>
          <w:tcPr>
            <w:tcW w:type="dxa" w:w="6912"/>
          </w:tcPr>
          <w:p>
            <w:r>
              <w:t>Idempotent DDL executed at every server boot; environments never need hand migrations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