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7DC36" w14:textId="77777777" w:rsidR="000455D2" w:rsidRPr="003C08A8" w:rsidRDefault="000455D2" w:rsidP="008F327A">
      <w:pPr>
        <w:rPr>
          <w:rFonts w:ascii="MS Mincho" w:eastAsia="MS Mincho" w:hAnsi="MS Mincho"/>
          <w:sz w:val="22"/>
        </w:rPr>
      </w:pPr>
    </w:p>
    <w:p w14:paraId="1F776E14" w14:textId="33239F4C" w:rsidR="004A7967" w:rsidRPr="003C08A8" w:rsidRDefault="007B1EF7" w:rsidP="003C08A8">
      <w:pPr>
        <w:ind w:firstLineChars="1600" w:firstLine="3520"/>
        <w:rPr>
          <w:rFonts w:ascii="MS Mincho" w:eastAsia="MS Mincho" w:hAnsi="MS Mincho"/>
          <w:sz w:val="22"/>
        </w:rPr>
      </w:pPr>
      <w:r w:rsidRPr="003C08A8">
        <w:rPr>
          <w:rFonts w:ascii="MS Mincho" w:eastAsia="MS Mincho" w:hAnsi="MS Mincho" w:hint="eastAsia"/>
          <w:sz w:val="22"/>
        </w:rPr>
        <w:t>Manual for tongue pressure measurement</w:t>
      </w:r>
    </w:p>
    <w:p w14:paraId="65F9F77B" w14:textId="77777777" w:rsidR="000455D2" w:rsidRPr="003C08A8" w:rsidRDefault="000455D2" w:rsidP="00481651">
      <w:pPr>
        <w:rPr>
          <w:rFonts w:ascii="MS Mincho" w:eastAsia="MS Mincho" w:hAnsi="MS Mincho"/>
          <w:sz w:val="22"/>
        </w:rPr>
      </w:pPr>
    </w:p>
    <w:p w14:paraId="417A1CD3" w14:textId="77777777" w:rsidR="00FD1CBF" w:rsidRPr="003C08A8" w:rsidRDefault="00481651" w:rsidP="00481651">
      <w:pPr>
        <w:rPr>
          <w:rFonts w:ascii="MS Mincho" w:eastAsia="MS Mincho" w:hAnsi="MS Mincho"/>
          <w:sz w:val="22"/>
        </w:rPr>
      </w:pPr>
      <w:r w:rsidRPr="003C08A8">
        <w:rPr>
          <w:rFonts w:ascii="MS Mincho" w:eastAsia="MS Mincho" w:hAnsi="MS Mincho"/>
          <w:sz w:val="22"/>
        </w:rPr>
        <w:t xml:space="preserve">Purpose of </w:t>
      </w:r>
      <w:r w:rsidRPr="003C08A8">
        <w:rPr>
          <w:rFonts w:ascii="MS Mincho" w:eastAsia="MS Mincho" w:hAnsi="MS Mincho" w:hint="eastAsia"/>
          <w:sz w:val="22"/>
        </w:rPr>
        <w:t>measurement</w:t>
      </w:r>
    </w:p>
    <w:p w14:paraId="59951924" w14:textId="31BF3BCF" w:rsidR="00D436E5" w:rsidRPr="003C08A8" w:rsidRDefault="007447E8" w:rsidP="007447E8">
      <w:pPr>
        <w:ind w:firstLineChars="100" w:firstLine="220"/>
        <w:rPr>
          <w:rFonts w:ascii="MS Mincho" w:eastAsia="MS Mincho" w:hAnsi="MS Mincho"/>
          <w:sz w:val="22"/>
        </w:rPr>
      </w:pPr>
      <w:r w:rsidRPr="003C08A8">
        <w:rPr>
          <w:rFonts w:ascii="MS Mincho" w:eastAsia="MS Mincho" w:hAnsi="MS Mincho" w:hint="eastAsia"/>
          <w:sz w:val="22"/>
        </w:rPr>
        <w:t xml:space="preserve">Among the many types of frailty, there is a concept called oral frailty, which is characterized by the progression of oral frailty with age, leading to eating disorders and even mental and physical decline </w:t>
      </w:r>
      <w:r w:rsidRPr="003C08A8">
        <w:rPr>
          <w:rFonts w:ascii="MS Mincho" w:eastAsia="MS Mincho" w:hAnsi="MS Mincho"/>
          <w:sz w:val="22"/>
        </w:rPr>
        <w:t xml:space="preserve">(Japan Dental Association, 2019, p.13). </w:t>
      </w:r>
      <w:r w:rsidRPr="003C08A8">
        <w:rPr>
          <w:rFonts w:ascii="MS Mincho" w:eastAsia="MS Mincho" w:hAnsi="MS Mincho" w:hint="eastAsia"/>
          <w:sz w:val="22"/>
        </w:rPr>
        <w:t xml:space="preserve">The concept of oral frailty includes a disease called oral hypofunction, which is diagnosed based on </w:t>
      </w:r>
      <w:r w:rsidRPr="003C08A8">
        <w:rPr>
          <w:rFonts w:ascii="MS Mincho" w:eastAsia="MS Mincho" w:hAnsi="MS Mincho"/>
          <w:sz w:val="22"/>
        </w:rPr>
        <w:t xml:space="preserve">seven test items: poor oral hygiene, dry mouth, decreased bite force, decreased lingual and labial motor function, low tongue pressure, decreased chewing function, and decreased swallowing function (Japan Dental Association, 2019, p.37). If a decline is observed in three or more of the seven items, it is considered oral hypofunction (Japan Dental Association, 2019, p.41). </w:t>
      </w:r>
      <w:r w:rsidR="00C43678" w:rsidRPr="003C08A8">
        <w:rPr>
          <w:rFonts w:ascii="MS Mincho" w:eastAsia="MS Mincho" w:hAnsi="MS Mincho" w:hint="eastAsia"/>
          <w:sz w:val="22"/>
        </w:rPr>
        <w:t>The purpose of this study is to measure whether elderly people have low tongue pressure at Suginami Seikyo Clinic. The purpose is also to diagnose oral hypofunction by combining not only tongue pressure but also other items.</w:t>
      </w:r>
    </w:p>
    <w:p w14:paraId="682872BD" w14:textId="77777777" w:rsidR="008A6C50" w:rsidRPr="003C08A8" w:rsidRDefault="008A6C50" w:rsidP="00481651">
      <w:pPr>
        <w:rPr>
          <w:rFonts w:ascii="MS Mincho" w:eastAsia="MS Mincho" w:hAnsi="MS Mincho"/>
          <w:sz w:val="22"/>
        </w:rPr>
      </w:pPr>
    </w:p>
    <w:p w14:paraId="418F24F9" w14:textId="0A4E40F3" w:rsidR="00481651" w:rsidRPr="003C08A8" w:rsidRDefault="00481651" w:rsidP="00481651">
      <w:pPr>
        <w:rPr>
          <w:rFonts w:ascii="MS Mincho" w:eastAsia="MS Mincho" w:hAnsi="MS Mincho"/>
          <w:sz w:val="22"/>
        </w:rPr>
      </w:pPr>
      <w:r w:rsidRPr="003C08A8">
        <w:rPr>
          <w:rFonts w:ascii="MS Mincho" w:eastAsia="MS Mincho" w:hAnsi="MS Mincho" w:hint="eastAsia"/>
          <w:sz w:val="22"/>
        </w:rPr>
        <w:t xml:space="preserve">② </w:t>
      </w:r>
      <w:r w:rsidRPr="003C08A8">
        <w:rPr>
          <w:rFonts w:ascii="MS Mincho" w:eastAsia="MS Mincho" w:hAnsi="MS Mincho"/>
          <w:sz w:val="22"/>
        </w:rPr>
        <w:t>Measurement procedure and precautions</w:t>
      </w:r>
    </w:p>
    <w:p w14:paraId="4870533E" w14:textId="22C85968" w:rsidR="001972C4" w:rsidRDefault="009C7B6A" w:rsidP="009C7B6A">
      <w:pPr>
        <w:ind w:firstLineChars="100" w:firstLine="220"/>
        <w:rPr>
          <w:rFonts w:ascii="MS Mincho" w:eastAsia="MS Mincho" w:hAnsi="MS Mincho"/>
          <w:sz w:val="22"/>
        </w:rPr>
      </w:pPr>
      <w:r>
        <w:rPr>
          <w:rFonts w:ascii="MS Mincho" w:eastAsia="MS Mincho" w:hAnsi="MS Mincho" w:hint="eastAsia"/>
          <w:sz w:val="22"/>
        </w:rPr>
        <w:t xml:space="preserve">For the low tongue pressure item, a JMS tongue pressure meter is used to measure maximum tongue pressure </w:t>
      </w:r>
      <w:r w:rsidRPr="009C7B6A">
        <w:rPr>
          <w:rFonts w:ascii="MS Mincho" w:eastAsia="MS Mincho" w:hAnsi="MS Mincho"/>
          <w:sz w:val="22"/>
        </w:rPr>
        <w:t xml:space="preserve">(Japan Dental Association, 2019, p. 37) </w:t>
      </w:r>
      <w:r w:rsidR="00506678" w:rsidRPr="003C08A8">
        <w:rPr>
          <w:rFonts w:ascii="MS Mincho" w:eastAsia="MS Mincho" w:hAnsi="MS Mincho" w:hint="eastAsia"/>
          <w:sz w:val="22"/>
        </w:rPr>
        <w:t>.</w:t>
      </w:r>
    </w:p>
    <w:p w14:paraId="73863C85" w14:textId="77777777" w:rsidR="001972C4" w:rsidRDefault="001972C4" w:rsidP="009C7B6A">
      <w:pPr>
        <w:ind w:firstLineChars="100" w:firstLine="220"/>
        <w:rPr>
          <w:rFonts w:ascii="MS Mincho" w:eastAsia="MS Mincho" w:hAnsi="MS Mincho"/>
          <w:sz w:val="22"/>
        </w:rPr>
      </w:pPr>
    </w:p>
    <w:p w14:paraId="25A1D4D7" w14:textId="77777777" w:rsidR="00C13CB0" w:rsidRDefault="00C13CB0" w:rsidP="004606BD">
      <w:pPr>
        <w:ind w:firstLineChars="100" w:firstLine="220"/>
        <w:rPr>
          <w:rFonts w:ascii="MS Mincho" w:eastAsia="MS Mincho" w:hAnsi="MS Mincho"/>
          <w:sz w:val="22"/>
        </w:rPr>
        <w:sectPr w:rsidR="00C13CB0" w:rsidSect="00981439">
          <w:pgSz w:w="11906" w:h="16838"/>
          <w:pgMar w:top="1440" w:right="1080" w:bottom="1440" w:left="1080" w:header="851" w:footer="992" w:gutter="0"/>
          <w:cols w:space="425"/>
          <w:docGrid w:type="lines" w:linePitch="360"/>
        </w:sectPr>
      </w:pPr>
    </w:p>
    <w:p w14:paraId="039A4C8D" w14:textId="5CF275CC" w:rsidR="00FC5C1F" w:rsidRDefault="001F0402" w:rsidP="004606BD">
      <w:pPr>
        <w:ind w:firstLineChars="100" w:firstLine="220"/>
        <w:rPr>
          <w:rFonts w:ascii="MS Mincho" w:eastAsia="MS Mincho" w:hAnsi="MS Mincho"/>
          <w:sz w:val="22"/>
        </w:rPr>
      </w:pPr>
      <w:r>
        <w:rPr>
          <w:rFonts w:ascii="MS Mincho" w:eastAsia="MS Mincho" w:hAnsi="MS Mincho" w:hint="eastAsia"/>
          <w:sz w:val="22"/>
        </w:rPr>
        <w:t xml:space="preserve">1. </w:t>
      </w:r>
      <w:r>
        <w:rPr>
          <w:rFonts w:ascii="MS Mincho" w:eastAsia="MS Mincho" w:hAnsi="MS Mincho"/>
          <w:sz w:val="22"/>
        </w:rPr>
        <w:t xml:space="preserve">First </w:t>
      </w:r>
      <w:r w:rsidR="00B10DA3" w:rsidRPr="003C08A8">
        <w:rPr>
          <w:rFonts w:ascii="MS Mincho" w:eastAsia="MS Mincho" w:hAnsi="MS Mincho" w:hint="eastAsia"/>
          <w:sz w:val="22"/>
        </w:rPr>
        <w:t xml:space="preserve">, connect the digital tongue pressure gauge, connecting tube, and tongue pressure probe, turn on the power, and adjust the internal pressure </w:t>
      </w:r>
      <w:r w:rsidR="004606BD" w:rsidRPr="004606BD">
        <w:rPr>
          <w:rFonts w:ascii="MS Mincho" w:eastAsia="MS Mincho" w:hAnsi="MS Mincho"/>
          <w:sz w:val="22"/>
        </w:rPr>
        <w:t xml:space="preserve">(JMS Co., Ltd., 2022) </w:t>
      </w:r>
      <w:r w:rsidR="000B1446" w:rsidRPr="003C08A8">
        <w:rPr>
          <w:rFonts w:ascii="MS Mincho" w:eastAsia="MS Mincho" w:hAnsi="MS Mincho" w:hint="eastAsia"/>
          <w:sz w:val="22"/>
        </w:rPr>
        <w:t xml:space="preserve">. When doing this, be sure to connect them so that there are no gaps (JMS Co., Ltd., </w:t>
      </w:r>
      <w:r w:rsidR="00526134">
        <w:rPr>
          <w:rFonts w:ascii="MS Mincho" w:eastAsia="MS Mincho" w:hAnsi="MS Mincho"/>
          <w:sz w:val="22"/>
        </w:rPr>
        <w:t xml:space="preserve">20 </w:t>
      </w:r>
      <w:r w:rsidR="004606BD">
        <w:rPr>
          <w:rFonts w:ascii="MS Mincho" w:eastAsia="MS Mincho" w:hAnsi="MS Mincho" w:hint="eastAsia"/>
          <w:sz w:val="22"/>
        </w:rPr>
        <w:t xml:space="preserve">2 </w:t>
      </w:r>
      <w:r w:rsidR="004606BD">
        <w:rPr>
          <w:rFonts w:ascii="MS Mincho" w:eastAsia="MS Mincho" w:hAnsi="MS Mincho"/>
          <w:sz w:val="22"/>
        </w:rPr>
        <w:t xml:space="preserve">2) </w:t>
      </w:r>
      <w:r w:rsidR="00EC3F8A">
        <w:rPr>
          <w:rFonts w:ascii="MS Mincho" w:eastAsia="MS Mincho" w:hAnsi="MS Mincho" w:hint="eastAsia"/>
          <w:sz w:val="22"/>
        </w:rPr>
        <w:t>.</w:t>
      </w:r>
    </w:p>
    <w:p w14:paraId="4C6F0682" w14:textId="4AAC4941" w:rsidR="00C13CB0" w:rsidRDefault="00C13CB0" w:rsidP="00FC5C1F">
      <w:pPr>
        <w:rPr>
          <w:rFonts w:ascii="MS Mincho" w:eastAsia="MS Mincho" w:hAnsi="MS Mincho"/>
          <w:sz w:val="22"/>
        </w:rPr>
        <w:sectPr w:rsidR="00C13CB0" w:rsidSect="00C13CB0">
          <w:type w:val="continuous"/>
          <w:pgSz w:w="11906" w:h="16838"/>
          <w:pgMar w:top="1440" w:right="1080" w:bottom="1440" w:left="1080" w:header="851" w:footer="992" w:gutter="0"/>
          <w:cols w:num="2" w:space="424" w:equalWidth="0">
            <w:col w:w="5040" w:space="424"/>
            <w:col w:w="4282"/>
          </w:cols>
          <w:docGrid w:type="lines" w:linePitch="360"/>
        </w:sectPr>
      </w:pPr>
      <w:r>
        <w:rPr>
          <w:rFonts w:ascii="MS Mincho" w:eastAsia="MS Mincho" w:hAnsi="MS Mincho" w:hint="eastAsia"/>
          <w:noProof/>
          <w:sz w:val="22"/>
        </w:rPr>
        <w:drawing>
          <wp:inline distT="0" distB="0" distL="0" distR="0" wp14:anchorId="4E832751" wp14:editId="7F34DC76">
            <wp:extent cx="2278966" cy="1325760"/>
            <wp:effectExtent l="0" t="0" r="7620" b="8255"/>
            <wp:docPr id="65770959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09591" name="図 6577095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6081" cy="1347351"/>
                    </a:xfrm>
                    <a:prstGeom prst="rect">
                      <a:avLst/>
                    </a:prstGeom>
                  </pic:spPr>
                </pic:pic>
              </a:graphicData>
            </a:graphic>
          </wp:inline>
        </w:drawing>
      </w:r>
    </w:p>
    <w:p w14:paraId="77E6065B" w14:textId="1E822A26" w:rsidR="00FC5C1F" w:rsidRDefault="008F5CF7" w:rsidP="00FC5C1F">
      <w:pPr>
        <w:rPr>
          <w:rFonts w:ascii="MS Mincho" w:eastAsia="MS Mincho" w:hAnsi="MS Mincho"/>
          <w:sz w:val="22"/>
        </w:rPr>
      </w:pPr>
      <w:r>
        <w:rPr>
          <w:rFonts w:ascii="MS Mincho" w:eastAsia="MS Mincho" w:hAnsi="MS Mincho" w:hint="eastAsia"/>
          <w:sz w:val="22"/>
        </w:rPr>
        <w:t xml:space="preserve">　　　　　　　　　　　　　　　　　 </w:t>
      </w:r>
      <w:r>
        <w:rPr>
          <w:rFonts w:ascii="MS Mincho" w:eastAsia="MS Mincho" w:hAnsi="MS Mincho"/>
          <w:sz w:val="22"/>
        </w:rPr>
        <w:t xml:space="preserve">            </w:t>
      </w:r>
      <w:r>
        <w:rPr>
          <w:rFonts w:ascii="MS Mincho" w:eastAsia="MS Mincho" w:hAnsi="MS Mincho" w:hint="eastAsia"/>
          <w:sz w:val="22"/>
        </w:rPr>
        <w:t xml:space="preserve">Source: JMS Co., Ltd., </w:t>
      </w:r>
      <w:r>
        <w:rPr>
          <w:rFonts w:ascii="MS Mincho" w:eastAsia="MS Mincho" w:hAnsi="MS Mincho"/>
          <w:sz w:val="22"/>
        </w:rPr>
        <w:t>2022</w:t>
      </w:r>
    </w:p>
    <w:p w14:paraId="36FCBFB9" w14:textId="31922B28" w:rsidR="002B5734" w:rsidRDefault="002B5734" w:rsidP="007C7B87">
      <w:pPr>
        <w:rPr>
          <w:rFonts w:ascii="MS Mincho" w:eastAsia="MS Mincho" w:hAnsi="MS Mincho"/>
          <w:sz w:val="22"/>
        </w:rPr>
        <w:sectPr w:rsidR="002B5734" w:rsidSect="00C13CB0">
          <w:type w:val="continuous"/>
          <w:pgSz w:w="11906" w:h="16838"/>
          <w:pgMar w:top="1440" w:right="1080" w:bottom="1440" w:left="1080" w:header="851" w:footer="992" w:gutter="0"/>
          <w:cols w:space="425"/>
          <w:docGrid w:type="lines" w:linePitch="360"/>
        </w:sectPr>
      </w:pPr>
    </w:p>
    <w:p w14:paraId="22DE0C27" w14:textId="6187EF86" w:rsidR="008B6832" w:rsidRDefault="001F0402" w:rsidP="008B6832">
      <w:pPr>
        <w:ind w:firstLineChars="100" w:firstLine="220"/>
        <w:rPr>
          <w:rFonts w:ascii="MS Mincho" w:eastAsia="MS Mincho" w:hAnsi="MS Mincho"/>
          <w:sz w:val="22"/>
        </w:rPr>
      </w:pPr>
      <w:r>
        <w:rPr>
          <w:rFonts w:ascii="MS Mincho" w:eastAsia="MS Mincho" w:hAnsi="MS Mincho" w:hint="eastAsia"/>
          <w:sz w:val="22"/>
        </w:rPr>
        <w:t xml:space="preserve">2. </w:t>
      </w:r>
      <w:r w:rsidR="00426FFB" w:rsidRPr="003C08A8">
        <w:rPr>
          <w:rFonts w:ascii="MS Mincho" w:eastAsia="MS Mincho" w:hAnsi="MS Mincho" w:hint="eastAsia"/>
          <w:sz w:val="22"/>
        </w:rPr>
        <w:t xml:space="preserve">Place the tongue pressure probe in the mouth </w:t>
      </w:r>
      <w:r w:rsidR="002B5734" w:rsidRPr="002B5734">
        <w:rPr>
          <w:rFonts w:ascii="MS Mincho" w:eastAsia="MS Mincho" w:hAnsi="MS Mincho"/>
          <w:sz w:val="22"/>
        </w:rPr>
        <w:t xml:space="preserve">(JMS Co., Ltd., 2022) </w:t>
      </w:r>
      <w:r>
        <w:rPr>
          <w:rFonts w:ascii="MS Mincho" w:eastAsia="MS Mincho" w:hAnsi="MS Mincho"/>
          <w:sz w:val="22"/>
        </w:rPr>
        <w:t xml:space="preserve">. </w:t>
      </w:r>
      <w:r w:rsidR="00AA1D22" w:rsidRPr="003C08A8">
        <w:rPr>
          <w:rFonts w:ascii="MS Mincho" w:eastAsia="MS Mincho" w:hAnsi="MS Mincho" w:hint="eastAsia"/>
          <w:sz w:val="22"/>
        </w:rPr>
        <w:t xml:space="preserve">Instruct the patient not to bite the balloon, but to lightly grasp the lower part of the balloon with the front teeth </w:t>
      </w:r>
      <w:r w:rsidR="002B5734" w:rsidRPr="002B5734">
        <w:rPr>
          <w:rFonts w:ascii="MS Mincho" w:eastAsia="MS Mincho" w:hAnsi="MS Mincho"/>
          <w:sz w:val="22"/>
        </w:rPr>
        <w:t xml:space="preserve">(JMS Co., Ltd., 2022) </w:t>
      </w:r>
      <w:r w:rsidR="00D36EE6" w:rsidRPr="003C08A8">
        <w:rPr>
          <w:rFonts w:ascii="MS Mincho" w:eastAsia="MS Mincho" w:hAnsi="MS Mincho" w:hint="eastAsia"/>
          <w:sz w:val="22"/>
        </w:rPr>
        <w:t xml:space="preserve">. Also, be careful not to bite too hard on the shaded area in the figure </w:t>
      </w:r>
      <w:bookmarkStart w:id="0" w:name="_Hlk139688835"/>
      <w:r w:rsidR="002B5734" w:rsidRPr="002B5734">
        <w:rPr>
          <w:rFonts w:ascii="MS Mincho" w:eastAsia="MS Mincho" w:hAnsi="MS Mincho"/>
          <w:sz w:val="22"/>
        </w:rPr>
        <w:t xml:space="preserve">(JMS Co., Ltd., 2022) </w:t>
      </w:r>
      <w:bookmarkEnd w:id="0"/>
      <w:r w:rsidR="00621E18">
        <w:rPr>
          <w:rFonts w:ascii="MS Mincho" w:eastAsia="MS Mincho" w:hAnsi="MS Mincho" w:hint="eastAsia"/>
          <w:sz w:val="22"/>
        </w:rPr>
        <w:t>.</w:t>
      </w:r>
    </w:p>
    <w:p w14:paraId="1953E018" w14:textId="39D2AF3A" w:rsidR="002B5734" w:rsidRDefault="002B5734" w:rsidP="008B6832">
      <w:pPr>
        <w:rPr>
          <w:rFonts w:ascii="MS Mincho" w:eastAsia="MS Mincho" w:hAnsi="MS Mincho"/>
          <w:sz w:val="22"/>
        </w:rPr>
        <w:sectPr w:rsidR="002B5734" w:rsidSect="002B5734">
          <w:type w:val="continuous"/>
          <w:pgSz w:w="11906" w:h="16838"/>
          <w:pgMar w:top="1440" w:right="1080" w:bottom="1440" w:left="1080" w:header="851" w:footer="992" w:gutter="0"/>
          <w:cols w:num="2" w:space="424" w:equalWidth="0">
            <w:col w:w="5250" w:space="424"/>
            <w:col w:w="4072"/>
          </w:cols>
          <w:docGrid w:type="lines" w:linePitch="360"/>
        </w:sectPr>
      </w:pPr>
      <w:r>
        <w:rPr>
          <w:rFonts w:ascii="MS Mincho" w:eastAsia="MS Mincho" w:hAnsi="MS Mincho" w:hint="eastAsia"/>
          <w:noProof/>
          <w:sz w:val="22"/>
        </w:rPr>
        <w:drawing>
          <wp:inline distT="0" distB="0" distL="0" distR="0" wp14:anchorId="62992507" wp14:editId="0F1DA44D">
            <wp:extent cx="2110154" cy="1271171"/>
            <wp:effectExtent l="0" t="0" r="4445" b="5715"/>
            <wp:docPr id="34433984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39846" name="図 3443398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4788" cy="1292035"/>
                    </a:xfrm>
                    <a:prstGeom prst="rect">
                      <a:avLst/>
                    </a:prstGeom>
                  </pic:spPr>
                </pic:pic>
              </a:graphicData>
            </a:graphic>
          </wp:inline>
        </w:drawing>
      </w:r>
    </w:p>
    <w:p w14:paraId="4A196534" w14:textId="54FF0A39" w:rsidR="008B6832" w:rsidRDefault="008F5CF7" w:rsidP="008F5CF7">
      <w:pPr>
        <w:ind w:firstLineChars="2400" w:firstLine="5280"/>
        <w:rPr>
          <w:rFonts w:ascii="MS Mincho" w:eastAsia="MS Mincho" w:hAnsi="MS Mincho"/>
          <w:sz w:val="22"/>
        </w:rPr>
      </w:pPr>
      <w:r>
        <w:rPr>
          <w:rFonts w:ascii="MS Mincho" w:eastAsia="MS Mincho" w:hAnsi="MS Mincho" w:hint="eastAsia"/>
          <w:sz w:val="22"/>
        </w:rPr>
        <w:t xml:space="preserve">Source: JMS Co., Ltd. </w:t>
      </w:r>
      <w:r w:rsidRPr="008F5CF7">
        <w:rPr>
          <w:rFonts w:ascii="MS Mincho" w:eastAsia="MS Mincho" w:hAnsi="MS Mincho"/>
          <w:sz w:val="22"/>
        </w:rPr>
        <w:t>, 2022</w:t>
      </w:r>
    </w:p>
    <w:p w14:paraId="4BD30E93" w14:textId="13F86D48" w:rsidR="00C92DF1" w:rsidRDefault="00C92DF1" w:rsidP="007C7B87">
      <w:pPr>
        <w:rPr>
          <w:rFonts w:ascii="MS Mincho" w:eastAsia="MS Mincho" w:hAnsi="MS Mincho"/>
          <w:sz w:val="22"/>
        </w:rPr>
        <w:sectPr w:rsidR="00C92DF1" w:rsidSect="00C13CB0">
          <w:type w:val="continuous"/>
          <w:pgSz w:w="11906" w:h="16838"/>
          <w:pgMar w:top="1440" w:right="1080" w:bottom="1440" w:left="1080" w:header="851" w:footer="992" w:gutter="0"/>
          <w:cols w:space="425"/>
          <w:docGrid w:type="lines" w:linePitch="360"/>
        </w:sectPr>
      </w:pPr>
    </w:p>
    <w:p w14:paraId="58F13693" w14:textId="50BF9131" w:rsidR="008F5CF7" w:rsidRDefault="002B5734" w:rsidP="005F5DE9">
      <w:pPr>
        <w:ind w:firstLineChars="100" w:firstLine="220"/>
        <w:rPr>
          <w:rFonts w:ascii="MS Mincho" w:eastAsia="MS Mincho" w:hAnsi="MS Mincho"/>
          <w:sz w:val="22"/>
        </w:rPr>
      </w:pPr>
      <w:r>
        <w:rPr>
          <w:rFonts w:ascii="MS Mincho" w:eastAsia="MS Mincho" w:hAnsi="MS Mincho" w:hint="eastAsia"/>
          <w:sz w:val="22"/>
        </w:rPr>
        <w:t xml:space="preserve">3. </w:t>
      </w:r>
      <w:r w:rsidR="00935EEE">
        <w:rPr>
          <w:rFonts w:ascii="MS Mincho" w:eastAsia="MS Mincho" w:hAnsi="MS Mincho" w:hint="eastAsia"/>
          <w:sz w:val="22"/>
        </w:rPr>
        <w:t xml:space="preserve">Press the balloon with your tongue for approximately 7 seconds </w:t>
      </w:r>
      <w:r w:rsidR="00935EEE" w:rsidRPr="00935EEE">
        <w:rPr>
          <w:rFonts w:ascii="MS Mincho" w:eastAsia="MS Mincho" w:hAnsi="MS Mincho"/>
          <w:sz w:val="22"/>
        </w:rPr>
        <w:t xml:space="preserve">(JMS Co., Ltd., 2022) </w:t>
      </w:r>
      <w:r>
        <w:rPr>
          <w:rFonts w:ascii="MS Mincho" w:eastAsia="MS Mincho" w:hAnsi="MS Mincho"/>
          <w:sz w:val="22"/>
        </w:rPr>
        <w:t xml:space="preserve">. </w:t>
      </w:r>
      <w:r w:rsidR="00480BDB" w:rsidRPr="003C08A8">
        <w:rPr>
          <w:rFonts w:ascii="MS Mincho" w:eastAsia="MS Mincho" w:hAnsi="MS Mincho" w:hint="eastAsia"/>
          <w:sz w:val="22"/>
        </w:rPr>
        <w:t xml:space="preserve">Tongue pressure probes must not be reused </w:t>
      </w:r>
      <w:r w:rsidR="00C92DF1" w:rsidRPr="00C92DF1">
        <w:rPr>
          <w:rFonts w:ascii="MS Mincho" w:eastAsia="MS Mincho" w:hAnsi="MS Mincho"/>
          <w:sz w:val="22"/>
        </w:rPr>
        <w:t xml:space="preserve">(JMS </w:t>
      </w:r>
      <w:r w:rsidR="00C92DF1" w:rsidRPr="00C92DF1">
        <w:rPr>
          <w:rFonts w:ascii="MS Mincho" w:eastAsia="MS Mincho" w:hAnsi="MS Mincho"/>
          <w:sz w:val="22"/>
        </w:rPr>
        <w:t xml:space="preserve">Co., Ltd., 2022) </w:t>
      </w:r>
      <w:r w:rsidR="00C92DF1">
        <w:rPr>
          <w:rFonts w:ascii="MS Mincho" w:eastAsia="MS Mincho" w:hAnsi="MS Mincho" w:hint="eastAsia"/>
          <w:sz w:val="22"/>
        </w:rPr>
        <w:t>.</w:t>
      </w:r>
    </w:p>
    <w:p w14:paraId="0508FAC7" w14:textId="749BA6B8" w:rsidR="00A6031E" w:rsidRPr="003C08A8" w:rsidRDefault="005F5DE9" w:rsidP="00A6031E">
      <w:pPr>
        <w:rPr>
          <w:rFonts w:ascii="MS Mincho" w:eastAsia="MS Mincho" w:hAnsi="MS Mincho"/>
          <w:sz w:val="22"/>
        </w:rPr>
      </w:pPr>
      <w:r>
        <w:rPr>
          <w:rFonts w:ascii="MS Mincho" w:eastAsia="MS Mincho" w:hAnsi="MS Mincho" w:hint="eastAsia"/>
          <w:noProof/>
          <w:sz w:val="22"/>
        </w:rPr>
        <mc:AlternateContent>
          <mc:Choice Requires="wps">
            <w:drawing>
              <wp:anchor distT="0" distB="0" distL="114300" distR="114300" simplePos="0" relativeHeight="251659264" behindDoc="0" locked="0" layoutInCell="1" allowOverlap="1" wp14:anchorId="1257E9D1" wp14:editId="6897BB91">
                <wp:simplePos x="0" y="0"/>
                <wp:positionH relativeFrom="column">
                  <wp:posOffset>3330037</wp:posOffset>
                </wp:positionH>
                <wp:positionV relativeFrom="paragraph">
                  <wp:posOffset>401662</wp:posOffset>
                </wp:positionV>
                <wp:extent cx="2919047" cy="316523"/>
                <wp:effectExtent l="0" t="0" r="0" b="7620"/>
                <wp:wrapNone/>
                <wp:docPr id="2086248948" name="正方形/長方形 13"/>
                <wp:cNvGraphicFramePr/>
                <a:graphic xmlns:a="http://schemas.openxmlformats.org/drawingml/2006/main">
                  <a:graphicData uri="http://schemas.microsoft.com/office/word/2010/wordprocessingShape">
                    <wps:wsp>
                      <wps:cNvSpPr/>
                      <wps:spPr>
                        <a:xfrm>
                          <a:off x="0" y="0"/>
                          <a:ext cx="2919047" cy="31652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12832AD" w14:textId="6D344071" w:rsidR="005F5DE9" w:rsidRPr="005F5DE9" w:rsidRDefault="005F5DE9" w:rsidP="005F5DE9">
                            <w:pPr>
                              <w:jc w:val="center"/>
                              <w:rPr>
                                <w:rFonts w:ascii="MS Mincho" w:eastAsia="MS Mincho" w:hAnsi="MS Mincho"/>
                                <w:sz w:val="22"/>
                                <w:szCs w:val="24"/>
                              </w:rPr>
                            </w:pPr>
                            <w:r w:rsidRPr="005F5DE9">
                              <w:rPr>
                                <w:rFonts w:ascii="MS Mincho" w:eastAsia="MS Mincho" w:hAnsi="MS Mincho" w:hint="eastAsia"/>
                                <w:sz w:val="22"/>
                                <w:szCs w:val="24"/>
                              </w:rPr>
                              <w:t>出典：株式会社ジェイ・エム・エス</w:t>
                            </w:r>
                            <w:r w:rsidRPr="005F5DE9">
                              <w:rPr>
                                <w:rFonts w:ascii="MS Mincho" w:eastAsia="MS Mincho" w:hAnsi="MS Mincho"/>
                                <w:sz w:val="22"/>
                                <w:szCs w:val="24"/>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7E9D1" id="正方形/長方形 13" o:spid="_x0000_s1026" style="position:absolute;left:0;text-align:left;margin-left:262.2pt;margin-top:31.65pt;width:229.85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" fillcolor="white [3201]" stroked="f" strokeweight="1pt">
                <v:textbox>
                  <w:txbxContent>
                    <w:p w14:paraId="512832AD" w14:textId="6D344071" w:rsidR="005F5DE9" w:rsidRPr="005F5DE9" w:rsidRDefault="005F5DE9" w:rsidP="005F5DE9">
                      <w:pPr>
                        <w:jc w:val="center"/>
                        <w:rPr>
                          <w:rFonts w:ascii="ＭＳ 明朝" w:eastAsia="ＭＳ 明朝" w:hAnsi="ＭＳ 明朝"/>
                          <w:sz w:val="22"/>
                          <w:szCs w:val="24"/>
                        </w:rPr>
                      </w:pPr>
                      <w:r w:rsidRPr="005F5DE9">
                        <w:rPr>
                          <w:rFonts w:ascii="ＭＳ 明朝" w:eastAsia="ＭＳ 明朝" w:hAnsi="ＭＳ 明朝" w:hint="eastAsia"/>
                          <w:sz w:val="22"/>
                          <w:szCs w:val="24"/>
                        </w:rPr>
                        <w:t>出典：株式会社ジェイ・エム・エス</w:t>
                      </w:r>
                      <w:r w:rsidRPr="005F5DE9">
                        <w:rPr>
                          <w:rFonts w:ascii="ＭＳ 明朝" w:eastAsia="ＭＳ 明朝" w:hAnsi="ＭＳ 明朝"/>
                          <w:sz w:val="22"/>
                          <w:szCs w:val="24"/>
                        </w:rPr>
                        <w:t>,2022</w:t>
                      </w:r>
                    </w:p>
                  </w:txbxContent>
                </v:textbox>
              </v:rect>
            </w:pict>
          </mc:Fallback>
        </mc:AlternateContent>
      </w:r>
      <w:r w:rsidR="00A6031E">
        <w:rPr>
          <w:rFonts w:ascii="MS Mincho" w:eastAsia="MS Mincho" w:hAnsi="MS Mincho" w:hint="eastAsia"/>
          <w:sz w:val="22"/>
        </w:rPr>
        <w:t xml:space="preserve">　　　　　　　　　　　　　　　　　　　　　　　　　　</w:t>
      </w:r>
    </w:p>
    <w:p w14:paraId="7AE30121" w14:textId="377C3F44" w:rsidR="00C92DF1" w:rsidRDefault="00A6031E" w:rsidP="00481651">
      <w:pPr>
        <w:rPr>
          <w:rFonts w:ascii="MS Mincho" w:eastAsia="MS Mincho" w:hAnsi="MS Mincho"/>
          <w:sz w:val="22"/>
        </w:rPr>
        <w:sectPr w:rsidR="00C92DF1" w:rsidSect="00C92DF1">
          <w:type w:val="continuous"/>
          <w:pgSz w:w="11906" w:h="16838"/>
          <w:pgMar w:top="1440" w:right="1080" w:bottom="1440" w:left="1080" w:header="851" w:footer="992" w:gutter="0"/>
          <w:cols w:num="2" w:space="424" w:equalWidth="0">
            <w:col w:w="5250" w:space="424"/>
            <w:col w:w="4072"/>
          </w:cols>
          <w:docGrid w:type="lines" w:linePitch="360"/>
        </w:sectPr>
      </w:pPr>
      <w:r>
        <w:rPr>
          <w:rFonts w:ascii="MS Mincho" w:eastAsia="MS Mincho" w:hAnsi="MS Mincho" w:hint="eastAsia"/>
          <w:noProof/>
          <w:sz w:val="22"/>
        </w:rPr>
        <w:lastRenderedPageBreak/>
        <w:drawing>
          <wp:inline distT="0" distB="0" distL="0" distR="0" wp14:anchorId="3493D8A4" wp14:editId="1AE5E5B2">
            <wp:extent cx="1990579" cy="1263664"/>
            <wp:effectExtent l="0" t="0" r="0" b="0"/>
            <wp:docPr id="1203900408"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00408" name="図 12039004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7564" cy="1306188"/>
                    </a:xfrm>
                    <a:prstGeom prst="rect">
                      <a:avLst/>
                    </a:prstGeom>
                  </pic:spPr>
                </pic:pic>
              </a:graphicData>
            </a:graphic>
          </wp:inline>
        </w:drawing>
      </w:r>
    </w:p>
    <w:p w14:paraId="4554B465" w14:textId="3C848CEB" w:rsidR="00481651" w:rsidRPr="00BF65C8" w:rsidRDefault="00481651" w:rsidP="00481651">
      <w:pPr>
        <w:rPr>
          <w:rFonts w:ascii="MS Mincho" w:eastAsia="MS Mincho" w:hAnsi="MS Mincho"/>
          <w:sz w:val="22"/>
          <w:highlight w:val="yellow"/>
        </w:rPr>
      </w:pPr>
      <w:r w:rsidRPr="00BF65C8">
        <w:rPr>
          <w:rFonts w:ascii="MS Mincho" w:eastAsia="MS Mincho" w:hAnsi="MS Mincho" w:hint="eastAsia"/>
          <w:sz w:val="22"/>
          <w:highlight w:val="yellow"/>
        </w:rPr>
        <w:t xml:space="preserve">3) </w:t>
      </w:r>
      <w:r w:rsidR="002F430D" w:rsidRPr="00BF65C8">
        <w:rPr>
          <w:rFonts w:ascii="MS Mincho" w:eastAsia="MS Mincho" w:hAnsi="MS Mincho" w:hint="eastAsia"/>
          <w:sz w:val="22"/>
          <w:highlight w:val="yellow"/>
        </w:rPr>
        <w:t xml:space="preserve">How to evaluate and interpret </w:t>
      </w:r>
      <w:r w:rsidR="00DD7FF0" w:rsidRPr="00BF65C8">
        <w:rPr>
          <w:rFonts w:ascii="MS Mincho" w:eastAsia="MS Mincho" w:hAnsi="MS Mincho" w:hint="eastAsia"/>
          <w:sz w:val="22"/>
          <w:highlight w:val="yellow"/>
        </w:rPr>
        <w:t xml:space="preserve">the measurement </w:t>
      </w:r>
      <w:r w:rsidRPr="00BF65C8">
        <w:rPr>
          <w:rFonts w:ascii="MS Mincho" w:eastAsia="MS Mincho" w:hAnsi="MS Mincho"/>
          <w:sz w:val="22"/>
          <w:highlight w:val="yellow"/>
        </w:rPr>
        <w:t>results</w:t>
      </w:r>
    </w:p>
    <w:p w14:paraId="42ACE3FD" w14:textId="155A272B" w:rsidR="00411665" w:rsidRPr="003C08A8" w:rsidRDefault="00931B6B" w:rsidP="00481651">
      <w:pPr>
        <w:rPr>
          <w:rFonts w:ascii="MS Mincho" w:eastAsia="MS Mincho" w:hAnsi="MS Mincho"/>
          <w:sz w:val="22"/>
        </w:rPr>
      </w:pPr>
      <w:r w:rsidRPr="00BF65C8">
        <w:rPr>
          <w:rFonts w:ascii="MS Mincho" w:eastAsia="MS Mincho" w:hAnsi="MS Mincho" w:hint="eastAsia"/>
          <w:sz w:val="22"/>
          <w:highlight w:val="yellow"/>
        </w:rPr>
        <w:t xml:space="preserve">Tongue pressure is </w:t>
      </w:r>
      <w:r w:rsidR="00FF3A06" w:rsidRPr="00BF65C8">
        <w:rPr>
          <w:rFonts w:ascii="MS Mincho" w:eastAsia="MS Mincho" w:hAnsi="MS Mincho" w:hint="eastAsia"/>
          <w:sz w:val="22"/>
          <w:highlight w:val="yellow"/>
        </w:rPr>
        <w:t xml:space="preserve">measured in kilopascals (kPa), and the recommended maximum tongue pressure is 35 or more for adult men ( </w:t>
      </w:r>
      <w:r w:rsidR="00EC0656" w:rsidRPr="00BF65C8">
        <w:rPr>
          <w:rFonts w:ascii="MS Mincho" w:eastAsia="MS Mincho" w:hAnsi="MS Mincho"/>
          <w:sz w:val="22"/>
          <w:highlight w:val="yellow"/>
        </w:rPr>
        <w:t xml:space="preserve">ages </w:t>
      </w:r>
      <w:r w:rsidR="00FF3A06" w:rsidRPr="00BF65C8">
        <w:rPr>
          <w:rFonts w:ascii="MS Mincho" w:eastAsia="MS Mincho" w:hAnsi="MS Mincho"/>
          <w:sz w:val="22"/>
          <w:highlight w:val="yellow"/>
        </w:rPr>
        <w:t xml:space="preserve">20-59 </w:t>
      </w:r>
      <w:r w:rsidR="00EC0656" w:rsidRPr="00BF65C8">
        <w:rPr>
          <w:rFonts w:ascii="MS Mincho" w:eastAsia="MS Mincho" w:hAnsi="MS Mincho" w:hint="eastAsia"/>
          <w:sz w:val="22"/>
          <w:highlight w:val="yellow"/>
        </w:rPr>
        <w:t xml:space="preserve">), 30 or more for adult women (ages 20-59 </w:t>
      </w:r>
      <w:r w:rsidR="00CF378D" w:rsidRPr="00BF65C8">
        <w:rPr>
          <w:rFonts w:ascii="MS Mincho" w:eastAsia="MS Mincho" w:hAnsi="MS Mincho" w:hint="eastAsia"/>
          <w:sz w:val="22"/>
          <w:highlight w:val="yellow"/>
        </w:rPr>
        <w:t xml:space="preserve">) , 30 </w:t>
      </w:r>
      <w:r w:rsidR="00CF378D" w:rsidRPr="00BF65C8">
        <w:rPr>
          <w:rFonts w:ascii="MS Mincho" w:eastAsia="MS Mincho" w:hAnsi="MS Mincho"/>
          <w:sz w:val="22"/>
          <w:highlight w:val="yellow"/>
        </w:rPr>
        <w:t xml:space="preserve">for </w:t>
      </w:r>
      <w:r w:rsidR="00CF378D" w:rsidRPr="00BF65C8">
        <w:rPr>
          <w:rFonts w:ascii="MS Mincho" w:eastAsia="MS Mincho" w:hAnsi="MS Mincho" w:hint="eastAsia"/>
          <w:sz w:val="22"/>
          <w:highlight w:val="yellow"/>
        </w:rPr>
        <w:t xml:space="preserve">those </w:t>
      </w:r>
      <w:r w:rsidR="00CF378D" w:rsidRPr="00BF65C8">
        <w:rPr>
          <w:rFonts w:ascii="MS Mincho" w:eastAsia="MS Mincho" w:hAnsi="MS Mincho"/>
          <w:sz w:val="22"/>
          <w:highlight w:val="yellow"/>
        </w:rPr>
        <w:t xml:space="preserve">in their </w:t>
      </w:r>
      <w:r w:rsidR="00EC0656" w:rsidRPr="00BF65C8">
        <w:rPr>
          <w:rFonts w:ascii="MS Mincho" w:eastAsia="MS Mincho" w:hAnsi="MS Mincho"/>
          <w:sz w:val="22"/>
          <w:highlight w:val="yellow"/>
        </w:rPr>
        <w:t xml:space="preserve">60s </w:t>
      </w:r>
      <w:r w:rsidR="00CF378D" w:rsidRPr="00BF65C8">
        <w:rPr>
          <w:rFonts w:ascii="MS Mincho" w:eastAsia="MS Mincho" w:hAnsi="MS Mincho"/>
          <w:sz w:val="22"/>
          <w:highlight w:val="yellow"/>
        </w:rPr>
        <w:t xml:space="preserve">( </w:t>
      </w:r>
      <w:r w:rsidR="00EC0656" w:rsidRPr="00BF65C8">
        <w:rPr>
          <w:rFonts w:ascii="MS Mincho" w:eastAsia="MS Mincho" w:hAnsi="MS Mincho" w:hint="eastAsia"/>
          <w:sz w:val="22"/>
          <w:highlight w:val="yellow"/>
        </w:rPr>
        <w:t xml:space="preserve">ages 60-69 </w:t>
      </w:r>
      <w:r w:rsidR="00EC0656" w:rsidRPr="00BF65C8">
        <w:rPr>
          <w:rFonts w:ascii="MS Mincho" w:eastAsia="MS Mincho" w:hAnsi="MS Mincho"/>
          <w:sz w:val="22"/>
          <w:highlight w:val="yellow"/>
        </w:rPr>
        <w:t xml:space="preserve">) , </w:t>
      </w:r>
      <w:r w:rsidR="00EC0656" w:rsidRPr="00BF65C8">
        <w:rPr>
          <w:rFonts w:ascii="MS Mincho" w:eastAsia="MS Mincho" w:hAnsi="MS Mincho" w:hint="eastAsia"/>
          <w:sz w:val="22"/>
          <w:highlight w:val="yellow"/>
        </w:rPr>
        <w:t xml:space="preserve">and </w:t>
      </w:r>
      <w:r w:rsidR="00EC0656" w:rsidRPr="00BF65C8">
        <w:rPr>
          <w:rFonts w:ascii="MS Mincho" w:eastAsia="MS Mincho" w:hAnsi="MS Mincho"/>
          <w:sz w:val="22"/>
          <w:highlight w:val="yellow"/>
        </w:rPr>
        <w:t xml:space="preserve">20 </w:t>
      </w:r>
      <w:r w:rsidR="00F80D8C" w:rsidRPr="00BF65C8">
        <w:rPr>
          <w:rFonts w:ascii="MS Mincho" w:eastAsia="MS Mincho" w:hAnsi="MS Mincho" w:hint="eastAsia"/>
          <w:sz w:val="22"/>
          <w:highlight w:val="yellow"/>
        </w:rPr>
        <w:t xml:space="preserve">is </w:t>
      </w:r>
      <w:r w:rsidR="00EC0656" w:rsidRPr="00BF65C8">
        <w:rPr>
          <w:rFonts w:ascii="MS Mincho" w:eastAsia="MS Mincho" w:hAnsi="MS Mincho"/>
          <w:sz w:val="22"/>
          <w:highlight w:val="yellow"/>
        </w:rPr>
        <w:t xml:space="preserve">required </w:t>
      </w:r>
      <w:r w:rsidR="00EC0656" w:rsidRPr="00BF65C8">
        <w:rPr>
          <w:rFonts w:ascii="MS Mincho" w:eastAsia="MS Mincho" w:hAnsi="MS Mincho" w:hint="eastAsia"/>
          <w:sz w:val="22"/>
          <w:highlight w:val="yellow"/>
        </w:rPr>
        <w:t xml:space="preserve">for people </w:t>
      </w:r>
      <w:r w:rsidR="00EC0656" w:rsidRPr="00BF65C8">
        <w:rPr>
          <w:rFonts w:ascii="MS Mincho" w:eastAsia="MS Mincho" w:hAnsi="MS Mincho"/>
          <w:sz w:val="22"/>
          <w:highlight w:val="yellow"/>
        </w:rPr>
        <w:t xml:space="preserve">aged 70 </w:t>
      </w:r>
      <w:r w:rsidR="00F80D8C" w:rsidRPr="00BF65C8">
        <w:rPr>
          <w:rFonts w:ascii="MS Mincho" w:eastAsia="MS Mincho" w:hAnsi="MS Mincho" w:hint="eastAsia"/>
          <w:sz w:val="22"/>
          <w:highlight w:val="yellow"/>
        </w:rPr>
        <w:t xml:space="preserve">or </w:t>
      </w:r>
      <w:r w:rsidR="00F80D8C" w:rsidRPr="00BF65C8">
        <w:rPr>
          <w:rFonts w:ascii="MS Mincho" w:eastAsia="MS Mincho" w:hAnsi="MS Mincho"/>
          <w:sz w:val="22"/>
          <w:highlight w:val="yellow"/>
        </w:rPr>
        <w:t xml:space="preserve">older </w:t>
      </w:r>
      <w:r w:rsidR="00F80D8C" w:rsidRPr="00BF65C8">
        <w:rPr>
          <w:rFonts w:ascii="MS Mincho" w:eastAsia="MS Mincho" w:hAnsi="MS Mincho" w:hint="eastAsia"/>
          <w:sz w:val="22"/>
          <w:highlight w:val="yellow"/>
        </w:rPr>
        <w:t xml:space="preserve">( </w:t>
      </w:r>
      <w:r w:rsidR="00F80D8C" w:rsidRPr="00BF65C8">
        <w:rPr>
          <w:rFonts w:ascii="MS Mincho" w:eastAsia="MS Mincho" w:hAnsi="MS Mincho"/>
          <w:sz w:val="22"/>
          <w:highlight w:val="yellow"/>
        </w:rPr>
        <w:t xml:space="preserve">JMS </w:t>
      </w:r>
      <w:r w:rsidR="00F80D8C" w:rsidRPr="00BF65C8">
        <w:rPr>
          <w:rFonts w:ascii="MS Mincho" w:eastAsia="MS Mincho" w:hAnsi="MS Mincho" w:hint="eastAsia"/>
          <w:sz w:val="22"/>
          <w:highlight w:val="yellow"/>
        </w:rPr>
        <w:t xml:space="preserve">Co. </w:t>
      </w:r>
      <w:r w:rsidR="003D361D" w:rsidRPr="00BF65C8">
        <w:rPr>
          <w:rFonts w:ascii="MS Mincho" w:eastAsia="MS Mincho" w:hAnsi="MS Mincho"/>
          <w:sz w:val="22"/>
          <w:highlight w:val="yellow"/>
        </w:rPr>
        <w:t xml:space="preserve">, </w:t>
      </w:r>
      <w:bookmarkStart w:id="1" w:name="_Hlk139690214"/>
      <w:r w:rsidR="003D361D" w:rsidRPr="00BF65C8">
        <w:rPr>
          <w:rFonts w:ascii="MS Mincho" w:eastAsia="MS Mincho" w:hAnsi="MS Mincho"/>
          <w:sz w:val="22"/>
          <w:highlight w:val="yellow"/>
        </w:rPr>
        <w:t xml:space="preserve">Ltd., 2022 </w:t>
      </w:r>
      <w:bookmarkEnd w:id="1"/>
      <w:r w:rsidR="00EC0656" w:rsidRPr="00BF65C8">
        <w:rPr>
          <w:rFonts w:ascii="MS Mincho" w:eastAsia="MS Mincho" w:hAnsi="MS Mincho" w:hint="eastAsia"/>
          <w:sz w:val="22"/>
          <w:highlight w:val="yellow"/>
        </w:rPr>
        <w:t xml:space="preserve">) </w:t>
      </w:r>
      <w:r w:rsidR="003D361D" w:rsidRPr="00BF65C8">
        <w:rPr>
          <w:rFonts w:ascii="MS Mincho" w:eastAsia="MS Mincho" w:hAnsi="MS Mincho"/>
          <w:sz w:val="22"/>
          <w:highlight w:val="yellow"/>
        </w:rPr>
        <w:t xml:space="preserve">. </w:t>
      </w:r>
      <w:r w:rsidR="00F80D8C" w:rsidRPr="00BF65C8">
        <w:rPr>
          <w:rFonts w:ascii="MS Mincho" w:eastAsia="MS Mincho" w:hAnsi="MS Mincho" w:hint="eastAsia"/>
          <w:sz w:val="22"/>
          <w:highlight w:val="yellow"/>
        </w:rPr>
        <w:t xml:space="preserve">In the low tongue pressure section of the oral hypofunction test, a maximum tongue pressure of less than 30 </w:t>
      </w:r>
      <w:r w:rsidR="008E33F4" w:rsidRPr="00BF65C8">
        <w:rPr>
          <w:rFonts w:ascii="MS Mincho" w:eastAsia="MS Mincho" w:hAnsi="MS Mincho"/>
          <w:sz w:val="22"/>
          <w:highlight w:val="yellow"/>
        </w:rPr>
        <w:t xml:space="preserve">kPa </w:t>
      </w:r>
      <w:r w:rsidR="00F80D8C" w:rsidRPr="00BF65C8">
        <w:rPr>
          <w:rFonts w:ascii="MS Mincho" w:eastAsia="MS Mincho" w:hAnsi="MS Mincho"/>
          <w:sz w:val="22"/>
          <w:highlight w:val="yellow"/>
        </w:rPr>
        <w:t xml:space="preserve">is </w:t>
      </w:r>
      <w:r w:rsidR="008E33F4" w:rsidRPr="00BF65C8">
        <w:rPr>
          <w:rFonts w:ascii="MS Mincho" w:eastAsia="MS Mincho" w:hAnsi="MS Mincho" w:hint="eastAsia"/>
          <w:sz w:val="22"/>
          <w:highlight w:val="yellow"/>
        </w:rPr>
        <w:t xml:space="preserve">diagnosed as low tongue pressure </w:t>
      </w:r>
      <w:r w:rsidR="00F6666A" w:rsidRPr="00F6666A">
        <w:rPr>
          <w:rFonts w:ascii="MS Mincho" w:eastAsia="MS Mincho" w:hAnsi="MS Mincho"/>
          <w:sz w:val="22"/>
        </w:rPr>
        <w:t xml:space="preserve">(Japan Dental Association, 2019, p. 37) </w:t>
      </w:r>
      <w:r w:rsidR="008E33F4" w:rsidRPr="003C08A8">
        <w:rPr>
          <w:rFonts w:ascii="MS Mincho" w:eastAsia="MS Mincho" w:hAnsi="MS Mincho" w:hint="eastAsia"/>
          <w:sz w:val="22"/>
        </w:rPr>
        <w:t>.</w:t>
      </w:r>
    </w:p>
    <w:p w14:paraId="0CAEDD96" w14:textId="77777777" w:rsidR="008047CE" w:rsidRDefault="008047CE" w:rsidP="00481651">
      <w:pPr>
        <w:rPr>
          <w:rFonts w:ascii="MS Mincho" w:eastAsia="MS Mincho" w:hAnsi="MS Mincho"/>
          <w:sz w:val="22"/>
        </w:rPr>
      </w:pPr>
    </w:p>
    <w:p w14:paraId="431B3C20" w14:textId="39506A53" w:rsidR="00D7419F" w:rsidRDefault="00BF750C" w:rsidP="00481651">
      <w:pPr>
        <w:rPr>
          <w:rFonts w:ascii="MS Mincho" w:eastAsia="MS Mincho" w:hAnsi="MS Mincho"/>
          <w:sz w:val="22"/>
        </w:rPr>
      </w:pPr>
      <w:r>
        <w:rPr>
          <w:rFonts w:ascii="MS Mincho" w:eastAsia="MS Mincho" w:hAnsi="MS Mincho"/>
          <w:noProof/>
          <w:sz w:val="22"/>
        </w:rPr>
        <w:drawing>
          <wp:inline distT="0" distB="0" distL="0" distR="0" wp14:anchorId="5D0BB343" wp14:editId="33FC0EA4">
            <wp:extent cx="4206240" cy="1986604"/>
            <wp:effectExtent l="0" t="0" r="3810" b="0"/>
            <wp:docPr id="147708323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3238" name="図 1477083238"/>
                    <pic:cNvPicPr/>
                  </pic:nvPicPr>
                  <pic:blipFill>
                    <a:blip r:embed="rId9">
                      <a:extLst>
                        <a:ext uri="{28A0092B-C50C-407E-A947-70E740481C1C}">
                          <a14:useLocalDpi xmlns:a14="http://schemas.microsoft.com/office/drawing/2010/main" val="0"/>
                        </a:ext>
                      </a:extLst>
                    </a:blip>
                    <a:stretch>
                      <a:fillRect/>
                    </a:stretch>
                  </pic:blipFill>
                  <pic:spPr>
                    <a:xfrm>
                      <a:off x="0" y="0"/>
                      <a:ext cx="4210285" cy="1988514"/>
                    </a:xfrm>
                    <a:prstGeom prst="rect">
                      <a:avLst/>
                    </a:prstGeom>
                  </pic:spPr>
                </pic:pic>
              </a:graphicData>
            </a:graphic>
          </wp:inline>
        </w:drawing>
      </w:r>
    </w:p>
    <w:p w14:paraId="1BA2F736" w14:textId="18E58FCD" w:rsidR="00D7419F" w:rsidRDefault="00BF750C" w:rsidP="00BF750C">
      <w:pPr>
        <w:ind w:firstLineChars="500" w:firstLine="1100"/>
        <w:rPr>
          <w:rFonts w:ascii="MS Mincho" w:eastAsia="MS Mincho" w:hAnsi="MS Mincho"/>
          <w:sz w:val="22"/>
        </w:rPr>
      </w:pPr>
      <w:r w:rsidRPr="00BF750C">
        <w:rPr>
          <w:rFonts w:ascii="MS Mincho" w:eastAsia="MS Mincho" w:hAnsi="MS Mincho" w:hint="eastAsia"/>
          <w:sz w:val="22"/>
        </w:rPr>
        <w:t xml:space="preserve">Source: JMS Co., Ltd. </w:t>
      </w:r>
      <w:r w:rsidRPr="00BF750C">
        <w:rPr>
          <w:rFonts w:ascii="MS Mincho" w:eastAsia="MS Mincho" w:hAnsi="MS Mincho"/>
          <w:sz w:val="22"/>
        </w:rPr>
        <w:t>, 2022</w:t>
      </w:r>
    </w:p>
    <w:p w14:paraId="4DFBCD29" w14:textId="77777777" w:rsidR="00D7419F" w:rsidRDefault="00D7419F" w:rsidP="00481651">
      <w:pPr>
        <w:rPr>
          <w:rFonts w:ascii="MS Mincho" w:eastAsia="MS Mincho" w:hAnsi="MS Mincho"/>
          <w:sz w:val="22"/>
        </w:rPr>
      </w:pPr>
    </w:p>
    <w:p w14:paraId="7F1C4D7D" w14:textId="5DEDF3CD" w:rsidR="00395CA2" w:rsidRPr="003C08A8" w:rsidRDefault="00395CA2" w:rsidP="00481651">
      <w:pPr>
        <w:rPr>
          <w:rFonts w:ascii="MS Mincho" w:eastAsia="MS Mincho" w:hAnsi="MS Mincho"/>
          <w:sz w:val="22"/>
        </w:rPr>
      </w:pPr>
      <w:r w:rsidRPr="003C08A8">
        <w:rPr>
          <w:rFonts w:ascii="MS Mincho" w:eastAsia="MS Mincho" w:hAnsi="MS Mincho" w:hint="eastAsia"/>
          <w:sz w:val="22"/>
        </w:rPr>
        <w:t>References</w:t>
      </w:r>
    </w:p>
    <w:p w14:paraId="0F489FAB" w14:textId="2FCE9314" w:rsidR="002F531D" w:rsidRPr="002F531D" w:rsidRDefault="002F531D" w:rsidP="00481651">
      <w:pPr>
        <w:rPr>
          <w:rFonts w:ascii="MS Mincho" w:eastAsia="MS Mincho" w:hAnsi="MS Mincho"/>
          <w:sz w:val="22"/>
        </w:rPr>
      </w:pPr>
      <w:r>
        <w:rPr>
          <w:rFonts w:ascii="MS Mincho" w:eastAsia="MS Mincho" w:hAnsi="MS Mincho" w:hint="eastAsia"/>
          <w:sz w:val="22"/>
        </w:rPr>
        <w:t>・</w:t>
      </w:r>
      <w:r w:rsidRPr="002F531D">
        <w:rPr>
          <w:rFonts w:ascii="MS Mincho" w:eastAsia="MS Mincho" w:hAnsi="MS Mincho"/>
          <w:sz w:val="22"/>
        </w:rPr>
        <w:t xml:space="preserve">JMS Co., Ltd. (2022) </w:t>
      </w:r>
      <w:r>
        <w:rPr>
          <w:rFonts w:ascii="MS Mincho" w:eastAsia="MS Mincho" w:hAnsi="MS Mincho" w:hint="eastAsia"/>
          <w:sz w:val="22"/>
        </w:rPr>
        <w:t xml:space="preserve">" </w:t>
      </w:r>
      <w:r>
        <w:rPr>
          <w:rFonts w:ascii="MS Mincho" w:eastAsia="MS Mincho" w:hAnsi="MS Mincho"/>
          <w:sz w:val="22"/>
        </w:rPr>
        <w:t xml:space="preserve">JMS </w:t>
      </w:r>
      <w:r>
        <w:rPr>
          <w:rFonts w:ascii="MS Mincho" w:eastAsia="MS Mincho" w:hAnsi="MS Mincho" w:hint="eastAsia"/>
          <w:sz w:val="22"/>
        </w:rPr>
        <w:t xml:space="preserve">Tongue Pressure Measuring Device </w:t>
      </w:r>
      <w:r>
        <w:rPr>
          <w:rFonts w:ascii="MS Mincho" w:eastAsia="MS Mincho" w:hAnsi="MS Mincho"/>
          <w:sz w:val="22"/>
        </w:rPr>
        <w:t xml:space="preserve">TPM-02 </w:t>
      </w:r>
      <w:r>
        <w:rPr>
          <w:rFonts w:ascii="MS Mincho" w:eastAsia="MS Mincho" w:hAnsi="MS Mincho" w:hint="eastAsia"/>
          <w:sz w:val="22"/>
        </w:rPr>
        <w:t>".</w:t>
      </w:r>
    </w:p>
    <w:p w14:paraId="6F0E84B4" w14:textId="74416715" w:rsidR="006239A6" w:rsidRDefault="003F5CBA" w:rsidP="00481651">
      <w:pPr>
        <w:rPr>
          <w:rFonts w:ascii="MS Mincho" w:eastAsia="MS Mincho" w:hAnsi="MS Mincho"/>
          <w:sz w:val="22"/>
        </w:rPr>
      </w:pPr>
      <w:r w:rsidRPr="003C08A8">
        <w:rPr>
          <w:rFonts w:ascii="MS Mincho" w:eastAsia="MS Mincho" w:hAnsi="MS Mincho" w:hint="eastAsia"/>
          <w:sz w:val="22"/>
        </w:rPr>
        <w:t>・</w:t>
      </w:r>
      <w:r w:rsidRPr="003C08A8">
        <w:rPr>
          <w:rFonts w:ascii="MS Mincho" w:eastAsia="MS Mincho" w:hAnsi="MS Mincho"/>
          <w:sz w:val="22"/>
        </w:rPr>
        <w:t>Japan Dental Association (2019) "Manual for dealing with oral frailty in dental clinics, 2019 edition."</w:t>
      </w:r>
    </w:p>
    <w:p w14:paraId="75275131" w14:textId="58619D2E" w:rsidR="00AE2417" w:rsidRPr="003C08A8" w:rsidRDefault="00AE2417" w:rsidP="00481651">
      <w:pPr>
        <w:rPr>
          <w:rFonts w:ascii="MS Mincho" w:eastAsia="MS Mincho" w:hAnsi="MS Mincho"/>
          <w:sz w:val="22"/>
        </w:rPr>
      </w:pPr>
    </w:p>
    <w:sectPr w:rsidR="00AE2417" w:rsidRPr="003C08A8" w:rsidSect="00C13CB0">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D5E70" w14:textId="77777777" w:rsidR="00402A72" w:rsidRDefault="00402A72" w:rsidP="00EA095B">
      <w:r>
        <w:separator/>
      </w:r>
    </w:p>
  </w:endnote>
  <w:endnote w:type="continuationSeparator" w:id="0">
    <w:p w14:paraId="6BA13E99" w14:textId="77777777" w:rsidR="00402A72" w:rsidRDefault="00402A72" w:rsidP="00EA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7A398" w14:textId="77777777" w:rsidR="00402A72" w:rsidRDefault="00402A72" w:rsidP="00EA095B">
      <w:r>
        <w:separator/>
      </w:r>
    </w:p>
  </w:footnote>
  <w:footnote w:type="continuationSeparator" w:id="0">
    <w:p w14:paraId="74FE0FC2" w14:textId="77777777" w:rsidR="00402A72" w:rsidRDefault="00402A72" w:rsidP="00EA09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rawingGridHorizontalSpacing w:val="105"/>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xMDIzsTC2MDO3MDdW0lEKTi0uzszPAykwrAUASACWWywAAAA="/>
  </w:docVars>
  <w:rsids>
    <w:rsidRoot w:val="00607025"/>
    <w:rsid w:val="00003C1F"/>
    <w:rsid w:val="0000695F"/>
    <w:rsid w:val="00007330"/>
    <w:rsid w:val="00007FFD"/>
    <w:rsid w:val="00020300"/>
    <w:rsid w:val="00021FBC"/>
    <w:rsid w:val="00023E1E"/>
    <w:rsid w:val="00033C7F"/>
    <w:rsid w:val="000414F1"/>
    <w:rsid w:val="00043B11"/>
    <w:rsid w:val="000455D2"/>
    <w:rsid w:val="0006432A"/>
    <w:rsid w:val="00072362"/>
    <w:rsid w:val="000743E7"/>
    <w:rsid w:val="0007573B"/>
    <w:rsid w:val="000778E8"/>
    <w:rsid w:val="00086E3E"/>
    <w:rsid w:val="000A1E11"/>
    <w:rsid w:val="000A5F4F"/>
    <w:rsid w:val="000B1446"/>
    <w:rsid w:val="000B4061"/>
    <w:rsid w:val="000B4903"/>
    <w:rsid w:val="000B4AD1"/>
    <w:rsid w:val="000C5E75"/>
    <w:rsid w:val="000D1FCE"/>
    <w:rsid w:val="000D5CE9"/>
    <w:rsid w:val="000E1439"/>
    <w:rsid w:val="000E1FC5"/>
    <w:rsid w:val="000E50BF"/>
    <w:rsid w:val="000E77FB"/>
    <w:rsid w:val="000F0488"/>
    <w:rsid w:val="00101011"/>
    <w:rsid w:val="00112E97"/>
    <w:rsid w:val="00124539"/>
    <w:rsid w:val="00124FFB"/>
    <w:rsid w:val="00135D07"/>
    <w:rsid w:val="00142BCF"/>
    <w:rsid w:val="00150A1E"/>
    <w:rsid w:val="001624F6"/>
    <w:rsid w:val="001766AE"/>
    <w:rsid w:val="001925AD"/>
    <w:rsid w:val="001972C4"/>
    <w:rsid w:val="001B34F7"/>
    <w:rsid w:val="001B5A8E"/>
    <w:rsid w:val="001B5D71"/>
    <w:rsid w:val="001B6CA0"/>
    <w:rsid w:val="001E0CBB"/>
    <w:rsid w:val="001E1B4D"/>
    <w:rsid w:val="001E301B"/>
    <w:rsid w:val="001F0402"/>
    <w:rsid w:val="00210CD5"/>
    <w:rsid w:val="00211AE0"/>
    <w:rsid w:val="00211D7A"/>
    <w:rsid w:val="00213E9B"/>
    <w:rsid w:val="002146ED"/>
    <w:rsid w:val="00224242"/>
    <w:rsid w:val="0023113B"/>
    <w:rsid w:val="00231776"/>
    <w:rsid w:val="00236816"/>
    <w:rsid w:val="00242B13"/>
    <w:rsid w:val="0024558D"/>
    <w:rsid w:val="00251043"/>
    <w:rsid w:val="0025179F"/>
    <w:rsid w:val="00256263"/>
    <w:rsid w:val="002745C2"/>
    <w:rsid w:val="00277EF1"/>
    <w:rsid w:val="00296C07"/>
    <w:rsid w:val="002B5734"/>
    <w:rsid w:val="002B672C"/>
    <w:rsid w:val="002C00D3"/>
    <w:rsid w:val="002D7640"/>
    <w:rsid w:val="002E6322"/>
    <w:rsid w:val="002F430D"/>
    <w:rsid w:val="002F531D"/>
    <w:rsid w:val="00304F98"/>
    <w:rsid w:val="0030568D"/>
    <w:rsid w:val="00307886"/>
    <w:rsid w:val="0032261D"/>
    <w:rsid w:val="003278AA"/>
    <w:rsid w:val="003333A1"/>
    <w:rsid w:val="003350D8"/>
    <w:rsid w:val="003440C9"/>
    <w:rsid w:val="00344694"/>
    <w:rsid w:val="00345CD8"/>
    <w:rsid w:val="0035086C"/>
    <w:rsid w:val="00367F35"/>
    <w:rsid w:val="0037167A"/>
    <w:rsid w:val="003717B9"/>
    <w:rsid w:val="00384C95"/>
    <w:rsid w:val="003916F4"/>
    <w:rsid w:val="00395CA2"/>
    <w:rsid w:val="003A080E"/>
    <w:rsid w:val="003A153D"/>
    <w:rsid w:val="003A2ECD"/>
    <w:rsid w:val="003A487A"/>
    <w:rsid w:val="003B26EE"/>
    <w:rsid w:val="003B6C9E"/>
    <w:rsid w:val="003C08A8"/>
    <w:rsid w:val="003C244A"/>
    <w:rsid w:val="003C2DF0"/>
    <w:rsid w:val="003C33E2"/>
    <w:rsid w:val="003D361D"/>
    <w:rsid w:val="003D56CF"/>
    <w:rsid w:val="003F2AB7"/>
    <w:rsid w:val="003F5CBA"/>
    <w:rsid w:val="00400BA5"/>
    <w:rsid w:val="00402A72"/>
    <w:rsid w:val="00411665"/>
    <w:rsid w:val="00415007"/>
    <w:rsid w:val="00417570"/>
    <w:rsid w:val="00426FFB"/>
    <w:rsid w:val="00433B5D"/>
    <w:rsid w:val="00435D9C"/>
    <w:rsid w:val="00442590"/>
    <w:rsid w:val="00450BD1"/>
    <w:rsid w:val="0045349A"/>
    <w:rsid w:val="004606BD"/>
    <w:rsid w:val="004709C0"/>
    <w:rsid w:val="00480BDB"/>
    <w:rsid w:val="00481651"/>
    <w:rsid w:val="00490858"/>
    <w:rsid w:val="00490A77"/>
    <w:rsid w:val="00496102"/>
    <w:rsid w:val="00497888"/>
    <w:rsid w:val="00497F6B"/>
    <w:rsid w:val="004A7967"/>
    <w:rsid w:val="004B0995"/>
    <w:rsid w:val="004E6BDD"/>
    <w:rsid w:val="004F3E74"/>
    <w:rsid w:val="004F637A"/>
    <w:rsid w:val="004F77B0"/>
    <w:rsid w:val="004F7868"/>
    <w:rsid w:val="00506678"/>
    <w:rsid w:val="005224A5"/>
    <w:rsid w:val="00526134"/>
    <w:rsid w:val="005316B1"/>
    <w:rsid w:val="005357F6"/>
    <w:rsid w:val="00540454"/>
    <w:rsid w:val="00547893"/>
    <w:rsid w:val="005569F7"/>
    <w:rsid w:val="00561DEE"/>
    <w:rsid w:val="00573D34"/>
    <w:rsid w:val="0058055C"/>
    <w:rsid w:val="00583FAE"/>
    <w:rsid w:val="005B026E"/>
    <w:rsid w:val="005B2D39"/>
    <w:rsid w:val="005B4CB7"/>
    <w:rsid w:val="005B7AE3"/>
    <w:rsid w:val="005D5822"/>
    <w:rsid w:val="005D7663"/>
    <w:rsid w:val="005F5DE9"/>
    <w:rsid w:val="005F79C7"/>
    <w:rsid w:val="0060103C"/>
    <w:rsid w:val="00607025"/>
    <w:rsid w:val="00621E18"/>
    <w:rsid w:val="006239A6"/>
    <w:rsid w:val="00631715"/>
    <w:rsid w:val="0064477A"/>
    <w:rsid w:val="00652458"/>
    <w:rsid w:val="00656E6D"/>
    <w:rsid w:val="00663014"/>
    <w:rsid w:val="00667948"/>
    <w:rsid w:val="006722CF"/>
    <w:rsid w:val="00676A95"/>
    <w:rsid w:val="00677BFE"/>
    <w:rsid w:val="00682EE0"/>
    <w:rsid w:val="00685AF2"/>
    <w:rsid w:val="00685C12"/>
    <w:rsid w:val="006B3ED0"/>
    <w:rsid w:val="006C26E3"/>
    <w:rsid w:val="006D0DB5"/>
    <w:rsid w:val="006D7B51"/>
    <w:rsid w:val="006E4C68"/>
    <w:rsid w:val="0070599E"/>
    <w:rsid w:val="007064A2"/>
    <w:rsid w:val="00706B90"/>
    <w:rsid w:val="00716E14"/>
    <w:rsid w:val="00717967"/>
    <w:rsid w:val="00721798"/>
    <w:rsid w:val="00721FE4"/>
    <w:rsid w:val="00725653"/>
    <w:rsid w:val="0073019F"/>
    <w:rsid w:val="007332CC"/>
    <w:rsid w:val="007447E8"/>
    <w:rsid w:val="00753CCC"/>
    <w:rsid w:val="00786F52"/>
    <w:rsid w:val="0079677B"/>
    <w:rsid w:val="007A387D"/>
    <w:rsid w:val="007A5B6C"/>
    <w:rsid w:val="007B1EF7"/>
    <w:rsid w:val="007C0D67"/>
    <w:rsid w:val="007C4252"/>
    <w:rsid w:val="007C60BB"/>
    <w:rsid w:val="007C6969"/>
    <w:rsid w:val="007C7B87"/>
    <w:rsid w:val="007D4139"/>
    <w:rsid w:val="007D7F69"/>
    <w:rsid w:val="007E135C"/>
    <w:rsid w:val="007E254A"/>
    <w:rsid w:val="007E3665"/>
    <w:rsid w:val="007F551D"/>
    <w:rsid w:val="007F6F95"/>
    <w:rsid w:val="00803EE5"/>
    <w:rsid w:val="008047CE"/>
    <w:rsid w:val="0081082E"/>
    <w:rsid w:val="008115A6"/>
    <w:rsid w:val="00817EA1"/>
    <w:rsid w:val="00821C1D"/>
    <w:rsid w:val="00824B59"/>
    <w:rsid w:val="00826161"/>
    <w:rsid w:val="0083163B"/>
    <w:rsid w:val="00854BA7"/>
    <w:rsid w:val="00856A77"/>
    <w:rsid w:val="00875366"/>
    <w:rsid w:val="008A5105"/>
    <w:rsid w:val="008A649E"/>
    <w:rsid w:val="008A6C50"/>
    <w:rsid w:val="008B6380"/>
    <w:rsid w:val="008B6832"/>
    <w:rsid w:val="008C3B4C"/>
    <w:rsid w:val="008D1228"/>
    <w:rsid w:val="008D2AEE"/>
    <w:rsid w:val="008D69AA"/>
    <w:rsid w:val="008D6B49"/>
    <w:rsid w:val="008D75E1"/>
    <w:rsid w:val="008E20F4"/>
    <w:rsid w:val="008E33F4"/>
    <w:rsid w:val="008E5074"/>
    <w:rsid w:val="008F327A"/>
    <w:rsid w:val="008F5CF7"/>
    <w:rsid w:val="009053CC"/>
    <w:rsid w:val="00913968"/>
    <w:rsid w:val="00913B62"/>
    <w:rsid w:val="00914C63"/>
    <w:rsid w:val="0091656D"/>
    <w:rsid w:val="0092348B"/>
    <w:rsid w:val="00924960"/>
    <w:rsid w:val="00931B6B"/>
    <w:rsid w:val="00935EEE"/>
    <w:rsid w:val="00937881"/>
    <w:rsid w:val="00940C14"/>
    <w:rsid w:val="00950426"/>
    <w:rsid w:val="00965D6D"/>
    <w:rsid w:val="00967374"/>
    <w:rsid w:val="00980A1D"/>
    <w:rsid w:val="00981439"/>
    <w:rsid w:val="00983D4C"/>
    <w:rsid w:val="009903CB"/>
    <w:rsid w:val="009A3306"/>
    <w:rsid w:val="009A6FBF"/>
    <w:rsid w:val="009B27BA"/>
    <w:rsid w:val="009B2D9F"/>
    <w:rsid w:val="009C7B6A"/>
    <w:rsid w:val="009E0996"/>
    <w:rsid w:val="009E5AC0"/>
    <w:rsid w:val="009F1544"/>
    <w:rsid w:val="00A0299E"/>
    <w:rsid w:val="00A05647"/>
    <w:rsid w:val="00A1122B"/>
    <w:rsid w:val="00A21D30"/>
    <w:rsid w:val="00A376A3"/>
    <w:rsid w:val="00A547C7"/>
    <w:rsid w:val="00A6031E"/>
    <w:rsid w:val="00A746A1"/>
    <w:rsid w:val="00A76391"/>
    <w:rsid w:val="00A82AE0"/>
    <w:rsid w:val="00A907EB"/>
    <w:rsid w:val="00A917B2"/>
    <w:rsid w:val="00A92733"/>
    <w:rsid w:val="00A94EC9"/>
    <w:rsid w:val="00A950CF"/>
    <w:rsid w:val="00A95134"/>
    <w:rsid w:val="00A95622"/>
    <w:rsid w:val="00A97ADE"/>
    <w:rsid w:val="00AA1D22"/>
    <w:rsid w:val="00AA1F19"/>
    <w:rsid w:val="00AB5787"/>
    <w:rsid w:val="00AC0BC6"/>
    <w:rsid w:val="00AD3CF6"/>
    <w:rsid w:val="00AE0CC2"/>
    <w:rsid w:val="00AE1534"/>
    <w:rsid w:val="00AE2417"/>
    <w:rsid w:val="00AE42DD"/>
    <w:rsid w:val="00B10DA3"/>
    <w:rsid w:val="00B14364"/>
    <w:rsid w:val="00B23B75"/>
    <w:rsid w:val="00B30809"/>
    <w:rsid w:val="00B510B2"/>
    <w:rsid w:val="00B67345"/>
    <w:rsid w:val="00B76EB7"/>
    <w:rsid w:val="00BA676C"/>
    <w:rsid w:val="00BB1330"/>
    <w:rsid w:val="00BC61E2"/>
    <w:rsid w:val="00BE2D11"/>
    <w:rsid w:val="00BF1C75"/>
    <w:rsid w:val="00BF65C8"/>
    <w:rsid w:val="00BF750C"/>
    <w:rsid w:val="00C13CB0"/>
    <w:rsid w:val="00C20D0E"/>
    <w:rsid w:val="00C3198C"/>
    <w:rsid w:val="00C32470"/>
    <w:rsid w:val="00C41F8D"/>
    <w:rsid w:val="00C43678"/>
    <w:rsid w:val="00C503EA"/>
    <w:rsid w:val="00C67133"/>
    <w:rsid w:val="00C703BB"/>
    <w:rsid w:val="00C703BD"/>
    <w:rsid w:val="00C71265"/>
    <w:rsid w:val="00C72DD9"/>
    <w:rsid w:val="00C76134"/>
    <w:rsid w:val="00C821DA"/>
    <w:rsid w:val="00C9215E"/>
    <w:rsid w:val="00C92DF1"/>
    <w:rsid w:val="00C9785D"/>
    <w:rsid w:val="00CA4308"/>
    <w:rsid w:val="00CA70CE"/>
    <w:rsid w:val="00CB5DC7"/>
    <w:rsid w:val="00CC1D83"/>
    <w:rsid w:val="00CC5126"/>
    <w:rsid w:val="00CD42CD"/>
    <w:rsid w:val="00CD7CA3"/>
    <w:rsid w:val="00CE31EE"/>
    <w:rsid w:val="00CF1D9C"/>
    <w:rsid w:val="00CF216F"/>
    <w:rsid w:val="00CF2583"/>
    <w:rsid w:val="00CF378D"/>
    <w:rsid w:val="00CF7724"/>
    <w:rsid w:val="00D14EC2"/>
    <w:rsid w:val="00D2095F"/>
    <w:rsid w:val="00D2211C"/>
    <w:rsid w:val="00D36EE6"/>
    <w:rsid w:val="00D40DA5"/>
    <w:rsid w:val="00D436E5"/>
    <w:rsid w:val="00D44010"/>
    <w:rsid w:val="00D44EC4"/>
    <w:rsid w:val="00D53631"/>
    <w:rsid w:val="00D636D3"/>
    <w:rsid w:val="00D70A5F"/>
    <w:rsid w:val="00D7419F"/>
    <w:rsid w:val="00D82593"/>
    <w:rsid w:val="00D82A72"/>
    <w:rsid w:val="00D859C6"/>
    <w:rsid w:val="00D85D09"/>
    <w:rsid w:val="00D90553"/>
    <w:rsid w:val="00D95DF4"/>
    <w:rsid w:val="00DD24F8"/>
    <w:rsid w:val="00DD7FF0"/>
    <w:rsid w:val="00DE2F85"/>
    <w:rsid w:val="00DE4682"/>
    <w:rsid w:val="00DE662C"/>
    <w:rsid w:val="00DF0679"/>
    <w:rsid w:val="00DF2F75"/>
    <w:rsid w:val="00DF46D2"/>
    <w:rsid w:val="00E12E8E"/>
    <w:rsid w:val="00E31C72"/>
    <w:rsid w:val="00E31E36"/>
    <w:rsid w:val="00E33E74"/>
    <w:rsid w:val="00E419ED"/>
    <w:rsid w:val="00E467AC"/>
    <w:rsid w:val="00E65D2E"/>
    <w:rsid w:val="00EA095B"/>
    <w:rsid w:val="00EA20C1"/>
    <w:rsid w:val="00EC0656"/>
    <w:rsid w:val="00EC3F8A"/>
    <w:rsid w:val="00EC4981"/>
    <w:rsid w:val="00ED3D89"/>
    <w:rsid w:val="00EE5978"/>
    <w:rsid w:val="00EF7435"/>
    <w:rsid w:val="00F153D6"/>
    <w:rsid w:val="00F20D7A"/>
    <w:rsid w:val="00F619E2"/>
    <w:rsid w:val="00F62A7E"/>
    <w:rsid w:val="00F6366B"/>
    <w:rsid w:val="00F6666A"/>
    <w:rsid w:val="00F711CA"/>
    <w:rsid w:val="00F76331"/>
    <w:rsid w:val="00F77092"/>
    <w:rsid w:val="00F80D8C"/>
    <w:rsid w:val="00F901F3"/>
    <w:rsid w:val="00F90D0E"/>
    <w:rsid w:val="00FA59CB"/>
    <w:rsid w:val="00FA61B8"/>
    <w:rsid w:val="00FB3D10"/>
    <w:rsid w:val="00FB6458"/>
    <w:rsid w:val="00FC0914"/>
    <w:rsid w:val="00FC5C1F"/>
    <w:rsid w:val="00FD189F"/>
    <w:rsid w:val="00FD1CBF"/>
    <w:rsid w:val="00FE348E"/>
    <w:rsid w:val="00FF2FB9"/>
    <w:rsid w:val="00FF3A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B39E13"/>
  <w15:chartTrackingRefBased/>
  <w15:docId w15:val="{1D7D2A2F-A08D-447A-8DF2-E7ED8F01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5B"/>
    <w:pPr>
      <w:tabs>
        <w:tab w:val="center" w:pos="4252"/>
        <w:tab w:val="right" w:pos="8504"/>
      </w:tabs>
      <w:snapToGrid w:val="0"/>
    </w:pPr>
  </w:style>
  <w:style w:type="character" w:customStyle="1" w:styleId="HeaderChar">
    <w:name w:val="Header Char"/>
    <w:basedOn w:val="DefaultParagraphFont"/>
    <w:link w:val="Header"/>
    <w:uiPriority w:val="99"/>
    <w:rsid w:val="00EA095B"/>
  </w:style>
  <w:style w:type="paragraph" w:styleId="Footer">
    <w:name w:val="footer"/>
    <w:basedOn w:val="Normal"/>
    <w:link w:val="FooterChar"/>
    <w:uiPriority w:val="99"/>
    <w:unhideWhenUsed/>
    <w:rsid w:val="00EA095B"/>
    <w:pPr>
      <w:tabs>
        <w:tab w:val="center" w:pos="4252"/>
        <w:tab w:val="right" w:pos="8504"/>
      </w:tabs>
      <w:snapToGrid w:val="0"/>
    </w:pPr>
  </w:style>
  <w:style w:type="character" w:customStyle="1" w:styleId="FooterChar">
    <w:name w:val="Footer Char"/>
    <w:basedOn w:val="DefaultParagraphFont"/>
    <w:link w:val="Footer"/>
    <w:uiPriority w:val="99"/>
    <w:rsid w:val="00EA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木内 辰樹</dc:creator>
  <cp:keywords/>
  <dc:description/>
  <cp:lastModifiedBy>Muhammad Huzaifa</cp:lastModifiedBy>
  <cp:revision>2</cp:revision>
  <dcterms:created xsi:type="dcterms:W3CDTF">2024-10-29T12:20:00Z</dcterms:created>
  <dcterms:modified xsi:type="dcterms:W3CDTF">2024-10-29T12:20:00Z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7e583b3bf09e199542174de2fde0ee6a2d200d6c69aa344978afc62cbba8ae9f</vt:lpwstr>
  </property>
</Properties>
</file>