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7E" w:rsidRPr="00676973" w:rsidRDefault="00706B84" w:rsidP="00EA4B34">
      <w:pPr>
        <w:jc w:val="center"/>
        <w:rPr>
          <w:b/>
          <w:sz w:val="36"/>
        </w:rPr>
      </w:pPr>
      <w:r w:rsidRPr="00676973">
        <w:rPr>
          <w:b/>
          <w:sz w:val="36"/>
        </w:rPr>
        <w:t>Probabilistic Resource</w:t>
      </w:r>
      <w:r w:rsidR="00EA4B34" w:rsidRPr="00676973">
        <w:rPr>
          <w:b/>
          <w:sz w:val="36"/>
        </w:rPr>
        <w:t xml:space="preserve"> </w:t>
      </w:r>
      <w:r w:rsidR="008240EB" w:rsidRPr="00676973">
        <w:rPr>
          <w:b/>
          <w:sz w:val="36"/>
        </w:rPr>
        <w:t>Modeling</w:t>
      </w:r>
      <w:r w:rsidR="00EA4B34" w:rsidRPr="00676973">
        <w:rPr>
          <w:b/>
          <w:sz w:val="36"/>
        </w:rPr>
        <w:t xml:space="preserve"> with </w:t>
      </w:r>
      <w:r w:rsidRPr="00676973">
        <w:rPr>
          <w:b/>
          <w:sz w:val="36"/>
        </w:rPr>
        <w:t>Geostatistics</w:t>
      </w:r>
      <w:r w:rsidR="00EA4B34" w:rsidRPr="00676973">
        <w:rPr>
          <w:b/>
          <w:sz w:val="36"/>
        </w:rPr>
        <w:t xml:space="preserve"> and Python</w:t>
      </w:r>
      <w:r w:rsidR="00676973">
        <w:rPr>
          <w:b/>
          <w:sz w:val="36"/>
        </w:rPr>
        <w:br/>
      </w:r>
      <w:r w:rsidR="00676973" w:rsidRPr="00676973">
        <w:rPr>
          <w:sz w:val="24"/>
        </w:rPr>
        <w:t>May 14-17, 2018</w:t>
      </w:r>
      <w:r w:rsidR="00676973" w:rsidRPr="00676973">
        <w:rPr>
          <w:sz w:val="24"/>
        </w:rPr>
        <w:br/>
        <w:t>Edmonton, Alberta, Canada</w:t>
      </w:r>
    </w:p>
    <w:p w:rsidR="00EA4B34" w:rsidRPr="00381F03" w:rsidRDefault="00381F03" w:rsidP="00EA4B34">
      <w:pPr>
        <w:jc w:val="center"/>
        <w:rPr>
          <w:b/>
          <w:color w:val="FF0000"/>
          <w:sz w:val="40"/>
        </w:rPr>
      </w:pPr>
      <w:r w:rsidRPr="00DD4509">
        <w:rPr>
          <w:b/>
          <w:color w:val="FF0000"/>
          <w:sz w:val="48"/>
        </w:rPr>
        <w:t>Short Course Registration Form</w:t>
      </w:r>
      <w:r w:rsidR="00D71676" w:rsidRPr="00DD4509">
        <w:rPr>
          <w:b/>
          <w:color w:val="FF0000"/>
          <w:sz w:val="48"/>
        </w:rPr>
        <w:br/>
      </w:r>
      <w:r w:rsidR="00D71676" w:rsidRPr="00D71676">
        <w:rPr>
          <w:color w:val="FF0000"/>
          <w:sz w:val="24"/>
        </w:rPr>
        <w:t>one per participant</w:t>
      </w:r>
    </w:p>
    <w:p w:rsidR="00DD4509" w:rsidRPr="00DD4509" w:rsidRDefault="00DD4509" w:rsidP="00DD4509">
      <w:pPr>
        <w:spacing w:after="0"/>
      </w:pPr>
    </w:p>
    <w:p w:rsidR="00934532" w:rsidRDefault="00DD4509" w:rsidP="008240EB">
      <w:r w:rsidRPr="00DD4509">
        <w:rPr>
          <w:b/>
        </w:rPr>
        <w:t>Administration</w:t>
      </w:r>
      <w:r>
        <w:t>: Dr. Clayton Deutsch (</w:t>
      </w:r>
      <w:hyperlink r:id="rId4" w:history="1">
        <w:r w:rsidRPr="000A4342">
          <w:rPr>
            <w:rStyle w:val="Hyperlink"/>
          </w:rPr>
          <w:t>cdeutsch@ualberta.ca</w:t>
        </w:r>
      </w:hyperlink>
      <w:r>
        <w:t xml:space="preserve">) acting as Clayton V. Deutsch </w:t>
      </w:r>
      <w:r w:rsidR="00813C04">
        <w:t>Consultants</w:t>
      </w:r>
      <w:r>
        <w:t xml:space="preserve"> Ltd. will administer the course.</w:t>
      </w:r>
    </w:p>
    <w:p w:rsidR="00381F03" w:rsidRPr="00ED0522" w:rsidRDefault="00381F03" w:rsidP="008240EB">
      <w:r w:rsidRPr="00381F03">
        <w:rPr>
          <w:b/>
        </w:rPr>
        <w:t>Participant:</w:t>
      </w:r>
      <w:r w:rsidR="00ED0522" w:rsidRPr="00ED0522">
        <w:t xml:space="preserve">  Please </w:t>
      </w:r>
      <w:r w:rsidR="00DD4509">
        <w:t>provide</w:t>
      </w:r>
      <w:r w:rsidR="00ED0522">
        <w:t xml:space="preserve"> the following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800"/>
        <w:gridCol w:w="4950"/>
      </w:tblGrid>
      <w:tr w:rsidR="00C90A92" w:rsidRPr="00C90A92" w:rsidTr="00C90A92">
        <w:tc>
          <w:tcPr>
            <w:tcW w:w="1800" w:type="dxa"/>
          </w:tcPr>
          <w:p w:rsidR="00C90A92" w:rsidRPr="00C90A92" w:rsidRDefault="00C90A92" w:rsidP="00C90A92">
            <w:pPr>
              <w:spacing w:before="60" w:after="60"/>
            </w:pPr>
            <w:r>
              <w:t>Name:</w:t>
            </w:r>
          </w:p>
        </w:tc>
        <w:tc>
          <w:tcPr>
            <w:tcW w:w="4950" w:type="dxa"/>
            <w:shd w:val="clear" w:color="auto" w:fill="DAEEF3" w:themeFill="accent5" w:themeFillTint="33"/>
          </w:tcPr>
          <w:p w:rsidR="00C90A92" w:rsidRPr="00C90A92" w:rsidRDefault="00C90A92" w:rsidP="00C90A92">
            <w:pPr>
              <w:spacing w:before="60" w:after="60"/>
            </w:pPr>
          </w:p>
        </w:tc>
      </w:tr>
      <w:tr w:rsidR="00C90A92" w:rsidRPr="00C90A92" w:rsidTr="00C90A92">
        <w:tc>
          <w:tcPr>
            <w:tcW w:w="1800" w:type="dxa"/>
          </w:tcPr>
          <w:p w:rsidR="00C90A92" w:rsidRPr="00C90A92" w:rsidRDefault="00C90A92" w:rsidP="00C90A92">
            <w:pPr>
              <w:spacing w:before="60" w:after="60"/>
            </w:pPr>
            <w:r>
              <w:t>Email Address:</w:t>
            </w:r>
          </w:p>
        </w:tc>
        <w:tc>
          <w:tcPr>
            <w:tcW w:w="4950" w:type="dxa"/>
            <w:shd w:val="clear" w:color="auto" w:fill="DAEEF3" w:themeFill="accent5" w:themeFillTint="33"/>
          </w:tcPr>
          <w:p w:rsidR="00C90A92" w:rsidRPr="00C90A92" w:rsidRDefault="00C90A92" w:rsidP="00C90A92">
            <w:pPr>
              <w:spacing w:before="60" w:after="60"/>
            </w:pPr>
          </w:p>
        </w:tc>
      </w:tr>
      <w:tr w:rsidR="00C90A92" w:rsidRPr="00C90A92" w:rsidTr="00C90A92">
        <w:tc>
          <w:tcPr>
            <w:tcW w:w="1800" w:type="dxa"/>
          </w:tcPr>
          <w:p w:rsidR="00C90A92" w:rsidRPr="00C90A92" w:rsidRDefault="00C90A92" w:rsidP="00C90A92">
            <w:pPr>
              <w:spacing w:before="60" w:after="60"/>
            </w:pPr>
            <w:r>
              <w:t>Organization:</w:t>
            </w:r>
          </w:p>
        </w:tc>
        <w:tc>
          <w:tcPr>
            <w:tcW w:w="4950" w:type="dxa"/>
            <w:shd w:val="clear" w:color="auto" w:fill="DAEEF3" w:themeFill="accent5" w:themeFillTint="33"/>
          </w:tcPr>
          <w:p w:rsidR="00C90A92" w:rsidRPr="00C90A92" w:rsidRDefault="00C90A92" w:rsidP="00C90A92">
            <w:pPr>
              <w:spacing w:before="60" w:after="60"/>
            </w:pPr>
          </w:p>
        </w:tc>
      </w:tr>
      <w:tr w:rsidR="00C90A92" w:rsidRPr="00C90A92" w:rsidTr="00C90A92">
        <w:tc>
          <w:tcPr>
            <w:tcW w:w="1800" w:type="dxa"/>
          </w:tcPr>
          <w:p w:rsidR="00C90A92" w:rsidRDefault="00C90A92" w:rsidP="00C90A92">
            <w:pPr>
              <w:spacing w:before="60" w:after="60"/>
            </w:pPr>
            <w:r>
              <w:t>Address:</w:t>
            </w:r>
          </w:p>
          <w:p w:rsidR="00C90A92" w:rsidRPr="00C90A92" w:rsidRDefault="00C90A92" w:rsidP="00C90A92">
            <w:pPr>
              <w:spacing w:before="60" w:after="60"/>
            </w:pPr>
          </w:p>
        </w:tc>
        <w:tc>
          <w:tcPr>
            <w:tcW w:w="4950" w:type="dxa"/>
            <w:shd w:val="clear" w:color="auto" w:fill="DAEEF3" w:themeFill="accent5" w:themeFillTint="33"/>
          </w:tcPr>
          <w:p w:rsidR="00C90A92" w:rsidRPr="00C90A92" w:rsidRDefault="00C90A92" w:rsidP="00C90A92">
            <w:pPr>
              <w:spacing w:before="60" w:after="60"/>
            </w:pPr>
          </w:p>
        </w:tc>
      </w:tr>
    </w:tbl>
    <w:p w:rsidR="00C90A92" w:rsidRPr="00C90A92" w:rsidRDefault="00C90A92" w:rsidP="00C90A92">
      <w:pPr>
        <w:spacing w:after="0"/>
      </w:pPr>
    </w:p>
    <w:p w:rsidR="00381F03" w:rsidRPr="00ED0522" w:rsidRDefault="00381F03" w:rsidP="008240EB">
      <w:r w:rsidRPr="00381F03">
        <w:rPr>
          <w:b/>
        </w:rPr>
        <w:t>Payment:</w:t>
      </w:r>
      <w:r w:rsidR="00ED0522" w:rsidRPr="00ED0522">
        <w:t xml:space="preserve">  </w:t>
      </w:r>
      <w:r w:rsidR="00ED0522">
        <w:t xml:space="preserve">Select a payment option and payment amount.  Include 5% GST if Canadian.  </w:t>
      </w:r>
    </w:p>
    <w:tbl>
      <w:tblPr>
        <w:tblStyle w:val="TableGrid"/>
        <w:tblW w:w="8658" w:type="dxa"/>
        <w:jc w:val="center"/>
        <w:tblLook w:val="04A0" w:firstRow="1" w:lastRow="0" w:firstColumn="1" w:lastColumn="0" w:noHBand="0" w:noVBand="1"/>
      </w:tblPr>
      <w:tblGrid>
        <w:gridCol w:w="1710"/>
        <w:gridCol w:w="525"/>
        <w:gridCol w:w="603"/>
        <w:gridCol w:w="1620"/>
        <w:gridCol w:w="2395"/>
        <w:gridCol w:w="1313"/>
        <w:gridCol w:w="492"/>
      </w:tblGrid>
      <w:tr w:rsidR="000C1A06" w:rsidTr="007F2A34">
        <w:trPr>
          <w:jc w:val="center"/>
        </w:trPr>
        <w:tc>
          <w:tcPr>
            <w:tcW w:w="2235" w:type="dxa"/>
            <w:gridSpan w:val="2"/>
          </w:tcPr>
          <w:p w:rsidR="000C1A06" w:rsidRDefault="000C1A06" w:rsidP="00A44046">
            <w:pPr>
              <w:jc w:val="right"/>
            </w:pPr>
            <w:r>
              <w:t>Check One</w:t>
            </w:r>
          </w:p>
        </w:tc>
        <w:tc>
          <w:tcPr>
            <w:tcW w:w="603" w:type="dxa"/>
            <w:vMerge w:val="restart"/>
            <w:tcBorders>
              <w:top w:val="nil"/>
            </w:tcBorders>
          </w:tcPr>
          <w:p w:rsidR="000C1A06" w:rsidRDefault="000C1A06" w:rsidP="00A44046">
            <w:pPr>
              <w:jc w:val="right"/>
            </w:pPr>
          </w:p>
        </w:tc>
        <w:tc>
          <w:tcPr>
            <w:tcW w:w="5820" w:type="dxa"/>
            <w:gridSpan w:val="4"/>
          </w:tcPr>
          <w:p w:rsidR="000C1A06" w:rsidRDefault="000C1A06" w:rsidP="00A44046">
            <w:pPr>
              <w:jc w:val="right"/>
            </w:pPr>
            <w:r>
              <w:t>Check One</w:t>
            </w:r>
          </w:p>
        </w:tc>
      </w:tr>
      <w:tr w:rsidR="000C1A06" w:rsidTr="000C1A06">
        <w:trPr>
          <w:jc w:val="center"/>
        </w:trPr>
        <w:tc>
          <w:tcPr>
            <w:tcW w:w="1710" w:type="dxa"/>
          </w:tcPr>
          <w:p w:rsidR="000C1A06" w:rsidRDefault="000C1A06" w:rsidP="00BA2D9D">
            <w:r>
              <w:t>Cash</w:t>
            </w:r>
          </w:p>
        </w:tc>
        <w:tc>
          <w:tcPr>
            <w:tcW w:w="525" w:type="dxa"/>
            <w:shd w:val="clear" w:color="auto" w:fill="DAEEF3" w:themeFill="accent5" w:themeFillTint="33"/>
          </w:tcPr>
          <w:p w:rsidR="000C1A06" w:rsidRDefault="000C1A06" w:rsidP="00BA2D9D"/>
        </w:tc>
        <w:tc>
          <w:tcPr>
            <w:tcW w:w="603" w:type="dxa"/>
            <w:vMerge/>
          </w:tcPr>
          <w:p w:rsidR="000C1A06" w:rsidRDefault="000C1A06" w:rsidP="00BA2D9D"/>
        </w:tc>
        <w:tc>
          <w:tcPr>
            <w:tcW w:w="1620" w:type="dxa"/>
            <w:vMerge w:val="restart"/>
          </w:tcPr>
          <w:p w:rsidR="000C1A06" w:rsidRDefault="000C1A06" w:rsidP="00BA2D9D">
            <w:r>
              <w:t>General</w:t>
            </w:r>
          </w:p>
        </w:tc>
        <w:tc>
          <w:tcPr>
            <w:tcW w:w="2395" w:type="dxa"/>
          </w:tcPr>
          <w:p w:rsidR="000C1A06" w:rsidRDefault="000C1A06" w:rsidP="00BA2D9D">
            <w:r>
              <w:t>Regular Registration</w:t>
            </w:r>
          </w:p>
        </w:tc>
        <w:tc>
          <w:tcPr>
            <w:tcW w:w="1313" w:type="dxa"/>
          </w:tcPr>
          <w:p w:rsidR="000C1A06" w:rsidRDefault="000C1A06" w:rsidP="00BA2D9D">
            <w:r>
              <w:t>CAD $2000</w:t>
            </w:r>
          </w:p>
        </w:tc>
        <w:tc>
          <w:tcPr>
            <w:tcW w:w="492" w:type="dxa"/>
            <w:shd w:val="clear" w:color="auto" w:fill="DAEEF3" w:themeFill="accent5" w:themeFillTint="33"/>
          </w:tcPr>
          <w:p w:rsidR="000C1A06" w:rsidRDefault="000C1A06" w:rsidP="00381F03">
            <w:pPr>
              <w:jc w:val="center"/>
            </w:pPr>
          </w:p>
        </w:tc>
      </w:tr>
      <w:tr w:rsidR="000C1A06" w:rsidTr="000C1A06">
        <w:trPr>
          <w:jc w:val="center"/>
        </w:trPr>
        <w:tc>
          <w:tcPr>
            <w:tcW w:w="1710" w:type="dxa"/>
          </w:tcPr>
          <w:p w:rsidR="000C1A06" w:rsidRDefault="000C1A06" w:rsidP="00BA2D9D">
            <w:proofErr w:type="spellStart"/>
            <w:r>
              <w:t>Cheque</w:t>
            </w:r>
            <w:proofErr w:type="spellEnd"/>
          </w:p>
        </w:tc>
        <w:tc>
          <w:tcPr>
            <w:tcW w:w="525" w:type="dxa"/>
            <w:shd w:val="clear" w:color="auto" w:fill="DAEEF3" w:themeFill="accent5" w:themeFillTint="33"/>
          </w:tcPr>
          <w:p w:rsidR="000C1A06" w:rsidRDefault="000C1A06" w:rsidP="00BA2D9D"/>
        </w:tc>
        <w:tc>
          <w:tcPr>
            <w:tcW w:w="603" w:type="dxa"/>
            <w:vMerge/>
          </w:tcPr>
          <w:p w:rsidR="000C1A06" w:rsidRDefault="000C1A06" w:rsidP="00BA2D9D"/>
        </w:tc>
        <w:tc>
          <w:tcPr>
            <w:tcW w:w="1620" w:type="dxa"/>
            <w:vMerge/>
          </w:tcPr>
          <w:p w:rsidR="000C1A06" w:rsidRDefault="000C1A06" w:rsidP="00BA2D9D"/>
        </w:tc>
        <w:tc>
          <w:tcPr>
            <w:tcW w:w="2395" w:type="dxa"/>
          </w:tcPr>
          <w:p w:rsidR="000C1A06" w:rsidRDefault="000C1A06" w:rsidP="00A44046">
            <w:r>
              <w:t>Early (before March31)</w:t>
            </w:r>
          </w:p>
        </w:tc>
        <w:tc>
          <w:tcPr>
            <w:tcW w:w="1313" w:type="dxa"/>
          </w:tcPr>
          <w:p w:rsidR="000C1A06" w:rsidRDefault="000C1A06" w:rsidP="00571805">
            <w:r>
              <w:t>CAD $1750</w:t>
            </w:r>
          </w:p>
        </w:tc>
        <w:tc>
          <w:tcPr>
            <w:tcW w:w="492" w:type="dxa"/>
            <w:shd w:val="clear" w:color="auto" w:fill="DAEEF3" w:themeFill="accent5" w:themeFillTint="33"/>
          </w:tcPr>
          <w:p w:rsidR="000C1A06" w:rsidRDefault="000C1A06" w:rsidP="00381F03">
            <w:pPr>
              <w:jc w:val="center"/>
            </w:pPr>
          </w:p>
        </w:tc>
      </w:tr>
      <w:tr w:rsidR="000C1A06" w:rsidTr="000C1A06">
        <w:trPr>
          <w:jc w:val="center"/>
        </w:trPr>
        <w:tc>
          <w:tcPr>
            <w:tcW w:w="1710" w:type="dxa"/>
          </w:tcPr>
          <w:p w:rsidR="000C1A06" w:rsidRDefault="000C1A06" w:rsidP="00934532">
            <w:r>
              <w:t>Bank Transfer</w:t>
            </w:r>
          </w:p>
        </w:tc>
        <w:tc>
          <w:tcPr>
            <w:tcW w:w="525" w:type="dxa"/>
            <w:shd w:val="clear" w:color="auto" w:fill="DAEEF3" w:themeFill="accent5" w:themeFillTint="33"/>
          </w:tcPr>
          <w:p w:rsidR="000C1A06" w:rsidRDefault="000C1A06" w:rsidP="00934532"/>
        </w:tc>
        <w:tc>
          <w:tcPr>
            <w:tcW w:w="603" w:type="dxa"/>
            <w:vMerge/>
          </w:tcPr>
          <w:p w:rsidR="000C1A06" w:rsidRDefault="000C1A06" w:rsidP="00934532"/>
        </w:tc>
        <w:tc>
          <w:tcPr>
            <w:tcW w:w="1620" w:type="dxa"/>
            <w:vMerge w:val="restart"/>
          </w:tcPr>
          <w:p w:rsidR="000C1A06" w:rsidRDefault="000C1A06" w:rsidP="00934532">
            <w:r>
              <w:t>CCG Member</w:t>
            </w:r>
          </w:p>
        </w:tc>
        <w:tc>
          <w:tcPr>
            <w:tcW w:w="2395" w:type="dxa"/>
          </w:tcPr>
          <w:p w:rsidR="000C1A06" w:rsidRDefault="000C1A06" w:rsidP="00BA2D9D">
            <w:r>
              <w:t>Regular Registration</w:t>
            </w:r>
          </w:p>
        </w:tc>
        <w:tc>
          <w:tcPr>
            <w:tcW w:w="1313" w:type="dxa"/>
          </w:tcPr>
          <w:p w:rsidR="000C1A06" w:rsidRDefault="000C1A06" w:rsidP="00571805">
            <w:r>
              <w:t>CAD $1500</w:t>
            </w:r>
          </w:p>
        </w:tc>
        <w:tc>
          <w:tcPr>
            <w:tcW w:w="492" w:type="dxa"/>
            <w:shd w:val="clear" w:color="auto" w:fill="DAEEF3" w:themeFill="accent5" w:themeFillTint="33"/>
          </w:tcPr>
          <w:p w:rsidR="000C1A06" w:rsidRDefault="000C1A06" w:rsidP="00381F03">
            <w:pPr>
              <w:jc w:val="center"/>
            </w:pPr>
          </w:p>
        </w:tc>
      </w:tr>
      <w:tr w:rsidR="000C1A06" w:rsidTr="007F2A34">
        <w:trPr>
          <w:jc w:val="center"/>
        </w:trPr>
        <w:tc>
          <w:tcPr>
            <w:tcW w:w="1710" w:type="dxa"/>
          </w:tcPr>
          <w:p w:rsidR="000C1A06" w:rsidRDefault="000C1A06" w:rsidP="00BA2D9D">
            <w:r>
              <w:t>Invoice</w:t>
            </w:r>
          </w:p>
        </w:tc>
        <w:tc>
          <w:tcPr>
            <w:tcW w:w="525" w:type="dxa"/>
            <w:shd w:val="clear" w:color="auto" w:fill="DAEEF3" w:themeFill="accent5" w:themeFillTint="33"/>
          </w:tcPr>
          <w:p w:rsidR="000C1A06" w:rsidRDefault="000C1A06" w:rsidP="00BA2D9D"/>
        </w:tc>
        <w:tc>
          <w:tcPr>
            <w:tcW w:w="603" w:type="dxa"/>
            <w:vMerge/>
            <w:tcBorders>
              <w:bottom w:val="nil"/>
            </w:tcBorders>
          </w:tcPr>
          <w:p w:rsidR="000C1A06" w:rsidRDefault="000C1A06" w:rsidP="00BA2D9D"/>
        </w:tc>
        <w:tc>
          <w:tcPr>
            <w:tcW w:w="1620" w:type="dxa"/>
            <w:vMerge/>
          </w:tcPr>
          <w:p w:rsidR="000C1A06" w:rsidRDefault="000C1A06" w:rsidP="00BA2D9D"/>
        </w:tc>
        <w:tc>
          <w:tcPr>
            <w:tcW w:w="2395" w:type="dxa"/>
          </w:tcPr>
          <w:p w:rsidR="000C1A06" w:rsidRDefault="000C1A06" w:rsidP="00A44046">
            <w:r>
              <w:t>Early (before March31)</w:t>
            </w:r>
          </w:p>
        </w:tc>
        <w:tc>
          <w:tcPr>
            <w:tcW w:w="1313" w:type="dxa"/>
          </w:tcPr>
          <w:p w:rsidR="000C1A06" w:rsidRDefault="000C1A06" w:rsidP="00571805">
            <w:r>
              <w:t>CAD $1250</w:t>
            </w:r>
          </w:p>
        </w:tc>
        <w:tc>
          <w:tcPr>
            <w:tcW w:w="492" w:type="dxa"/>
            <w:shd w:val="clear" w:color="auto" w:fill="DAEEF3" w:themeFill="accent5" w:themeFillTint="33"/>
          </w:tcPr>
          <w:p w:rsidR="000C1A06" w:rsidRDefault="000C1A06" w:rsidP="00381F03">
            <w:pPr>
              <w:jc w:val="center"/>
            </w:pPr>
          </w:p>
        </w:tc>
      </w:tr>
    </w:tbl>
    <w:p w:rsidR="00910823" w:rsidRDefault="00910823" w:rsidP="00DD4509">
      <w:pPr>
        <w:spacing w:before="120" w:after="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5404719</wp:posOffset>
                </wp:positionH>
                <wp:positionV relativeFrom="paragraph">
                  <wp:posOffset>77957</wp:posOffset>
                </wp:positionV>
                <wp:extent cx="315202" cy="152920"/>
                <wp:effectExtent l="0" t="0" r="279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02" cy="15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3C6F8" id="Rectangle 1" o:spid="_x0000_s1026" style="position:absolute;margin-left:425.55pt;margin-top:6.15pt;width:24.8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" fillcolor="#dbe5f1 [660]" strokecolor="black [3213]" strokeweight="1pt"/>
            </w:pict>
          </mc:Fallback>
        </mc:AlternateContent>
      </w:r>
      <w:r>
        <w:rPr>
          <w:rFonts w:cstheme="minorHAnsi"/>
        </w:rPr>
        <w:t xml:space="preserve">A </w:t>
      </w:r>
      <w:r w:rsidRPr="00910823">
        <w:rPr>
          <w:rFonts w:cstheme="minorHAnsi"/>
          <w:i/>
        </w:rPr>
        <w:t>student/seeking employment</w:t>
      </w:r>
      <w:r>
        <w:rPr>
          <w:rFonts w:cstheme="minorHAnsi"/>
        </w:rPr>
        <w:t xml:space="preserve"> registration option for CAD $1000 is available; check here:  </w:t>
      </w:r>
    </w:p>
    <w:p w:rsidR="000C1A06" w:rsidRDefault="000C1A06" w:rsidP="00DD4509">
      <w:pPr>
        <w:spacing w:before="120" w:after="60"/>
      </w:pPr>
      <w:r>
        <w:rPr>
          <w:rFonts w:cstheme="minorHAnsi"/>
        </w:rPr>
        <w:t xml:space="preserve">We cannot accept payment by credit card.  </w:t>
      </w:r>
      <w:r w:rsidR="00ED0522">
        <w:rPr>
          <w:rFonts w:cstheme="minorHAnsi"/>
        </w:rPr>
        <w:t xml:space="preserve">Make </w:t>
      </w:r>
      <w:proofErr w:type="spellStart"/>
      <w:r w:rsidR="00ED0522">
        <w:rPr>
          <w:rFonts w:cstheme="minorHAnsi"/>
        </w:rPr>
        <w:t>c</w:t>
      </w:r>
      <w:r>
        <w:rPr>
          <w:rFonts w:cstheme="minorHAnsi"/>
        </w:rPr>
        <w:t>heques</w:t>
      </w:r>
      <w:proofErr w:type="spellEnd"/>
      <w:r>
        <w:rPr>
          <w:rFonts w:cstheme="minorHAnsi"/>
        </w:rPr>
        <w:t xml:space="preserve"> payable to Clayton V. Deutsch Consultants Ltd.  Bank transfer details will be provided as needed.  I</w:t>
      </w:r>
      <w:r w:rsidR="00C90A92">
        <w:t xml:space="preserve">f paying by invoice please </w:t>
      </w:r>
      <w:r w:rsidR="00ED0522">
        <w:t>provide</w:t>
      </w:r>
      <w:r w:rsidR="00C90A92">
        <w:t xml:space="preserve"> contact person</w:t>
      </w:r>
      <w:r>
        <w:t>, Email and PO number.</w:t>
      </w:r>
      <w:r w:rsidR="00534DF8">
        <w:t xml:space="preserve">  Send correspondence to:</w:t>
      </w:r>
    </w:p>
    <w:p w:rsidR="00534DF8" w:rsidRDefault="00534DF8" w:rsidP="00534DF8">
      <w:pPr>
        <w:spacing w:before="120"/>
        <w:ind w:left="2880"/>
      </w:pPr>
      <w:r>
        <w:t>Clayton V. Deutsch Consultants Ltd</w:t>
      </w:r>
      <w:proofErr w:type="gramStart"/>
      <w:r>
        <w:t>.</w:t>
      </w:r>
      <w:bookmarkStart w:id="0" w:name="_GoBack"/>
      <w:bookmarkEnd w:id="0"/>
      <w:proofErr w:type="gramEnd"/>
      <w:r>
        <w:br/>
        <w:t>8311 – 120 Street NW</w:t>
      </w:r>
      <w:r>
        <w:br/>
        <w:t>Edmonton, Alberta, T6G 1X1, CANADA</w:t>
      </w:r>
      <w:r>
        <w:br/>
        <w:t xml:space="preserve">Email: </w:t>
      </w:r>
      <w:hyperlink r:id="rId5" w:history="1">
        <w:r w:rsidRPr="000A4342">
          <w:rPr>
            <w:rStyle w:val="Hyperlink"/>
          </w:rPr>
          <w:t>cdeutsch@ualberta.ca</w:t>
        </w:r>
      </w:hyperlink>
    </w:p>
    <w:p w:rsidR="006B1F6A" w:rsidRDefault="00C90A92" w:rsidP="006B1F6A">
      <w:r>
        <w:rPr>
          <w:b/>
        </w:rPr>
        <w:t>Cancellation</w:t>
      </w:r>
      <w:r w:rsidR="00D71676">
        <w:rPr>
          <w:b/>
        </w:rPr>
        <w:t>:</w:t>
      </w:r>
      <w:r w:rsidR="006B1F6A">
        <w:t xml:space="preserve">  </w:t>
      </w:r>
      <w:r>
        <w:t xml:space="preserve">Substitutions may be made at any time.  Notification of cancellation can be sent before </w:t>
      </w:r>
      <w:r w:rsidR="00D71676">
        <w:t>April 30, 2018 for an 85%</w:t>
      </w:r>
      <w:r w:rsidR="00DD4509">
        <w:t xml:space="preserve"> refund (15% credit provided for future courses).</w:t>
      </w:r>
    </w:p>
    <w:p w:rsidR="00676973" w:rsidRDefault="00676973" w:rsidP="006B1F6A">
      <w:r w:rsidRPr="00676973">
        <w:rPr>
          <w:b/>
        </w:rPr>
        <w:t>Additional</w:t>
      </w:r>
      <w:r>
        <w:t xml:space="preserve">:  Detailed information (software, data, course notes and room location at the University of Alberta) </w:t>
      </w:r>
      <w:r w:rsidR="00DD4509">
        <w:t xml:space="preserve">will be </w:t>
      </w:r>
      <w:r>
        <w:t xml:space="preserve">sent on May 1, 2018.  Contact </w:t>
      </w:r>
      <w:r w:rsidR="00DD4509">
        <w:t xml:space="preserve">course administrator </w:t>
      </w:r>
      <w:r>
        <w:t xml:space="preserve">with any questions.  Closest hotel is Campus Tower Suite Hotel.  Economic lodging </w:t>
      </w:r>
      <w:r w:rsidR="00DD4509">
        <w:t xml:space="preserve">is </w:t>
      </w:r>
      <w:r>
        <w:t>available at Lister Centre</w:t>
      </w:r>
      <w:r w:rsidR="004C2AC5">
        <w:t>.  Walking from Whyte Avenue is an option.  Taking the train from downtown is an</w:t>
      </w:r>
      <w:r w:rsidR="00DD4509">
        <w:t>other</w:t>
      </w:r>
      <w:r w:rsidR="004C2AC5">
        <w:t xml:space="preserve"> option.</w:t>
      </w:r>
    </w:p>
    <w:sectPr w:rsidR="00676973" w:rsidSect="00910823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D5"/>
    <w:rsid w:val="000258E4"/>
    <w:rsid w:val="000C1A06"/>
    <w:rsid w:val="00167301"/>
    <w:rsid w:val="00204724"/>
    <w:rsid w:val="00381F03"/>
    <w:rsid w:val="003D5C7D"/>
    <w:rsid w:val="0047517E"/>
    <w:rsid w:val="004C2AC5"/>
    <w:rsid w:val="004D601F"/>
    <w:rsid w:val="004E412E"/>
    <w:rsid w:val="00534DF8"/>
    <w:rsid w:val="00571805"/>
    <w:rsid w:val="00676973"/>
    <w:rsid w:val="006B1F6A"/>
    <w:rsid w:val="007010B0"/>
    <w:rsid w:val="00706B84"/>
    <w:rsid w:val="007340DA"/>
    <w:rsid w:val="007E1B2D"/>
    <w:rsid w:val="007F2A34"/>
    <w:rsid w:val="00813C04"/>
    <w:rsid w:val="0081486B"/>
    <w:rsid w:val="008240EB"/>
    <w:rsid w:val="00910823"/>
    <w:rsid w:val="00934532"/>
    <w:rsid w:val="00995604"/>
    <w:rsid w:val="00A41AB4"/>
    <w:rsid w:val="00A44046"/>
    <w:rsid w:val="00A828D5"/>
    <w:rsid w:val="00B208F3"/>
    <w:rsid w:val="00BA2D9D"/>
    <w:rsid w:val="00BF1F22"/>
    <w:rsid w:val="00C90A92"/>
    <w:rsid w:val="00CF175C"/>
    <w:rsid w:val="00D300BB"/>
    <w:rsid w:val="00D71676"/>
    <w:rsid w:val="00DD4509"/>
    <w:rsid w:val="00E6762C"/>
    <w:rsid w:val="00E967FE"/>
    <w:rsid w:val="00EA4B34"/>
    <w:rsid w:val="00ED0522"/>
    <w:rsid w:val="00F040F4"/>
    <w:rsid w:val="00F058C2"/>
    <w:rsid w:val="00F35182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0D021C-B29A-4F70-B563-208545D3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deutsch@ualberta.ca" TargetMode="External"/><Relationship Id="rId4" Type="http://schemas.openxmlformats.org/officeDocument/2006/relationships/hyperlink" Target="mailto:cdeutsch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Mostafa Hadavand</cp:lastModifiedBy>
  <cp:revision>2</cp:revision>
  <cp:lastPrinted>2018-02-20T02:12:00Z</cp:lastPrinted>
  <dcterms:created xsi:type="dcterms:W3CDTF">2018-02-20T02:19:00Z</dcterms:created>
  <dcterms:modified xsi:type="dcterms:W3CDTF">2018-02-20T02:19:00Z</dcterms:modified>
</cp:coreProperties>
</file>