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rsidR="00B84FBF" w:rsidRPr="00F72ECC" w:rsidRDefault="00B84FBF" w:rsidP="00B84FBF">
      <w:pPr>
        <w:pStyle w:val="Title"/>
        <w:rPr>
          <w:rFonts w:ascii="Times New Roman" w:hAnsi="Times New Roman" w:cs="Times New Roman"/>
          <w:b w:val="0"/>
          <w:bCs w:val="0"/>
          <w:sz w:val="22"/>
        </w:rPr>
      </w:pPr>
    </w:p>
    <w:p w:rsidR="00D47E93" w:rsidRPr="00F72ECC" w:rsidRDefault="00D47E93">
      <w:pPr>
        <w:rPr>
          <w:sz w:val="22"/>
          <w:szCs w:val="22"/>
        </w:rPr>
      </w:pPr>
    </w:p>
    <w:p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w:t>
      </w:r>
      <w:proofErr w:type="spellStart"/>
      <w:r w:rsidR="00A93317">
        <w:rPr>
          <w:b/>
          <w:bCs/>
          <w:snapToGrid w:val="0"/>
          <w:color w:val="000000"/>
          <w:sz w:val="24"/>
          <w:szCs w:val="24"/>
        </w:rPr>
        <w:t>subproblem</w:t>
      </w:r>
      <w:proofErr w:type="spellEnd"/>
      <w:r w:rsidR="001309DE" w:rsidRPr="00F72ECC">
        <w:rPr>
          <w:b/>
          <w:bCs/>
          <w:snapToGrid w:val="0"/>
          <w:color w:val="000000"/>
          <w:sz w:val="24"/>
          <w:szCs w:val="24"/>
        </w:rPr>
        <w:t>)</w:t>
      </w:r>
    </w:p>
    <w:p w:rsidR="005954BF" w:rsidRPr="00F72ECC" w:rsidRDefault="005954BF" w:rsidP="0050499F">
      <w:pPr>
        <w:rPr>
          <w:b/>
          <w:snapToGrid w:val="0"/>
          <w:color w:val="000000"/>
          <w:sz w:val="24"/>
          <w:szCs w:val="24"/>
        </w:rPr>
      </w:pPr>
    </w:p>
    <w:p w:rsidR="000F1642" w:rsidRPr="00F72ECC" w:rsidRDefault="000F1642">
      <w:pPr>
        <w:rPr>
          <w:b/>
          <w:snapToGrid w:val="0"/>
          <w:color w:val="000000"/>
          <w:sz w:val="24"/>
          <w:szCs w:val="24"/>
        </w:rPr>
      </w:pPr>
      <w:r w:rsidRPr="00F72ECC">
        <w:rPr>
          <w:b/>
          <w:snapToGrid w:val="0"/>
          <w:color w:val="000000"/>
          <w:sz w:val="24"/>
          <w:szCs w:val="24"/>
        </w:rPr>
        <w:t>Instructions:</w:t>
      </w:r>
    </w:p>
    <w:p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rsidR="000F1642" w:rsidRPr="00F72ECC" w:rsidRDefault="000F1642" w:rsidP="00B0393D">
      <w:pPr>
        <w:rPr>
          <w:snapToGrid w:val="0"/>
          <w:color w:val="000000"/>
          <w:sz w:val="24"/>
          <w:szCs w:val="24"/>
        </w:rPr>
      </w:pPr>
    </w:p>
    <w:p w:rsidR="003274BE" w:rsidRPr="00F72ECC" w:rsidRDefault="003274BE" w:rsidP="003274BE">
      <w:pPr>
        <w:rPr>
          <w:snapToGrid w:val="0"/>
          <w:color w:val="000000"/>
          <w:sz w:val="24"/>
          <w:szCs w:val="24"/>
        </w:rPr>
      </w:pPr>
    </w:p>
    <w:p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A93317" w:rsidRDefault="00A93317">
      <w:pPr>
        <w:autoSpaceDE/>
        <w:autoSpaceDN/>
        <w:rPr>
          <w:b/>
          <w:bCs/>
          <w:color w:val="000000"/>
          <w:sz w:val="24"/>
          <w:szCs w:val="24"/>
        </w:rPr>
      </w:pPr>
    </w:p>
    <w:p w:rsidR="002F6C8A" w:rsidRDefault="002F6C8A">
      <w:pPr>
        <w:autoSpaceDE/>
        <w:autoSpaceDN/>
        <w:rPr>
          <w:b/>
          <w:bCs/>
          <w:color w:val="000000"/>
          <w:sz w:val="24"/>
          <w:szCs w:val="24"/>
        </w:rPr>
      </w:pPr>
      <w:r w:rsidRPr="00F72ECC">
        <w:rPr>
          <w:b/>
          <w:bCs/>
          <w:color w:val="000000"/>
          <w:sz w:val="24"/>
          <w:szCs w:val="24"/>
        </w:rPr>
        <w:br w:type="page"/>
      </w:r>
    </w:p>
    <w:p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rsidTr="0087569C">
        <w:tc>
          <w:tcPr>
            <w:tcW w:w="1273" w:type="dxa"/>
          </w:tcPr>
          <w:p w:rsidR="0087569C" w:rsidRPr="00F72ECC" w:rsidRDefault="0087569C" w:rsidP="002F6C8A">
            <w:pPr>
              <w:adjustRightInd w:val="0"/>
              <w:rPr>
                <w:b/>
                <w:color w:val="000000"/>
                <w:sz w:val="18"/>
              </w:rPr>
            </w:pPr>
            <w:r w:rsidRPr="00F72ECC">
              <w:rPr>
                <w:b/>
                <w:color w:val="000000"/>
                <w:sz w:val="18"/>
              </w:rPr>
              <w:t>Chip</w:t>
            </w:r>
          </w:p>
        </w:tc>
        <w:tc>
          <w:tcPr>
            <w:tcW w:w="972" w:type="dxa"/>
          </w:tcPr>
          <w:p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rsidR="0087569C" w:rsidRPr="00F72ECC" w:rsidRDefault="0087569C" w:rsidP="0087569C">
            <w:pPr>
              <w:adjustRightInd w:val="0"/>
              <w:jc w:val="center"/>
              <w:rPr>
                <w:b/>
                <w:color w:val="000000"/>
                <w:sz w:val="18"/>
              </w:rPr>
            </w:pPr>
            <w:r w:rsidRPr="00F72ECC">
              <w:rPr>
                <w:b/>
                <w:color w:val="000000"/>
                <w:sz w:val="18"/>
              </w:rPr>
              <w:t>Estimated defect rate</w:t>
            </w:r>
          </w:p>
          <w:p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rsidR="0087569C" w:rsidRPr="00F72ECC" w:rsidRDefault="0087569C" w:rsidP="0087569C">
            <w:pPr>
              <w:adjustRightInd w:val="0"/>
              <w:jc w:val="center"/>
              <w:rPr>
                <w:b/>
                <w:color w:val="000000"/>
                <w:sz w:val="18"/>
              </w:rPr>
            </w:pPr>
            <w:r w:rsidRPr="00F72ECC">
              <w:rPr>
                <w:b/>
                <w:color w:val="000000"/>
                <w:sz w:val="18"/>
              </w:rPr>
              <w:t>N</w:t>
            </w:r>
          </w:p>
        </w:tc>
        <w:tc>
          <w:tcPr>
            <w:tcW w:w="1530" w:type="dxa"/>
          </w:tcPr>
          <w:p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rsidTr="0087569C">
        <w:trPr>
          <w:trHeight w:hRule="exact" w:val="288"/>
        </w:trPr>
        <w:tc>
          <w:tcPr>
            <w:tcW w:w="1273" w:type="dxa"/>
            <w:vAlign w:val="center"/>
          </w:tcPr>
          <w:p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rsidR="0087569C" w:rsidRPr="00F72ECC" w:rsidRDefault="0087569C" w:rsidP="0087569C">
            <w:pPr>
              <w:adjustRightInd w:val="0"/>
              <w:jc w:val="center"/>
              <w:rPr>
                <w:color w:val="000000"/>
                <w:sz w:val="18"/>
              </w:rPr>
            </w:pPr>
            <w:r w:rsidRPr="00F72ECC">
              <w:rPr>
                <w:color w:val="000000"/>
                <w:sz w:val="18"/>
              </w:rPr>
              <w:t>4</w:t>
            </w:r>
          </w:p>
        </w:tc>
      </w:tr>
      <w:tr w:rsidR="0087569C" w:rsidRPr="00F72ECC" w:rsidTr="0087569C">
        <w:trPr>
          <w:trHeight w:hRule="exact" w:val="288"/>
        </w:trPr>
        <w:tc>
          <w:tcPr>
            <w:tcW w:w="1273" w:type="dxa"/>
            <w:vAlign w:val="center"/>
          </w:tcPr>
          <w:p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rsidR="0087569C" w:rsidRPr="00F72ECC" w:rsidRDefault="0087569C" w:rsidP="0087569C">
            <w:pPr>
              <w:adjustRightInd w:val="0"/>
              <w:jc w:val="center"/>
              <w:rPr>
                <w:color w:val="000000"/>
                <w:sz w:val="18"/>
              </w:rPr>
            </w:pPr>
            <w:r w:rsidRPr="00F72ECC">
              <w:rPr>
                <w:color w:val="000000"/>
                <w:sz w:val="18"/>
              </w:rPr>
              <w:t>4</w:t>
            </w:r>
          </w:p>
        </w:tc>
      </w:tr>
      <w:tr w:rsidR="0087569C" w:rsidRPr="00F72ECC" w:rsidTr="0087569C">
        <w:trPr>
          <w:trHeight w:hRule="exact" w:val="288"/>
        </w:trPr>
        <w:tc>
          <w:tcPr>
            <w:tcW w:w="1273" w:type="dxa"/>
            <w:vAlign w:val="center"/>
          </w:tcPr>
          <w:p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rsidR="0087569C" w:rsidRPr="00F72ECC" w:rsidRDefault="0087569C" w:rsidP="0087569C">
            <w:pPr>
              <w:keepNext/>
              <w:adjustRightInd w:val="0"/>
              <w:jc w:val="center"/>
              <w:rPr>
                <w:color w:val="000000"/>
                <w:sz w:val="18"/>
              </w:rPr>
            </w:pPr>
            <w:r w:rsidRPr="00F72ECC">
              <w:rPr>
                <w:color w:val="000000"/>
                <w:sz w:val="18"/>
              </w:rPr>
              <w:t>8</w:t>
            </w:r>
          </w:p>
        </w:tc>
      </w:tr>
    </w:tbl>
    <w:p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rsidR="006A76F7" w:rsidRPr="00BD3951" w:rsidRDefault="003B725D"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[8] &lt;1.6&gt; </w:t>
      </w:r>
      <w:proofErr w:type="gramStart"/>
      <w:r w:rsidRPr="00BD3951">
        <w:rPr>
          <w:color w:val="000000"/>
          <w:sz w:val="22"/>
        </w:rPr>
        <w:t>What</w:t>
      </w:r>
      <w:proofErr w:type="gramEnd"/>
      <w:r w:rsidRPr="00BD3951">
        <w:rPr>
          <w:color w:val="000000"/>
          <w:sz w:val="22"/>
        </w:rPr>
        <w:t xml:space="preserve"> is the yield, or percentage of good dies, for the Phoenix chip?  </w:t>
      </w:r>
    </w:p>
    <w:p w:rsidR="000C168D" w:rsidRPr="00BD3951" w:rsidRDefault="000C168D" w:rsidP="004D1DC8">
      <w:pPr>
        <w:pStyle w:val="ListParagraph"/>
        <w:adjustRightInd w:val="0"/>
        <w:spacing w:before="120" w:after="120"/>
        <w:ind w:left="864"/>
        <w:contextualSpacing w:val="0"/>
        <w:rPr>
          <w:color w:val="000000"/>
          <w:sz w:val="22"/>
        </w:rPr>
      </w:pPr>
    </w:p>
    <w:p w:rsidR="004D1DC8" w:rsidRPr="00BD3951" w:rsidRDefault="004D1DC8" w:rsidP="004D1DC8">
      <w:pPr>
        <w:pStyle w:val="ListParagraph"/>
        <w:adjustRightInd w:val="0"/>
        <w:spacing w:before="120" w:after="120"/>
        <w:ind w:left="864"/>
        <w:contextualSpacing w:val="0"/>
        <w:rPr>
          <w:color w:val="000000"/>
          <w:sz w:val="22"/>
        </w:rPr>
      </w:pPr>
    </w:p>
    <w:p w:rsidR="004D1DC8" w:rsidRPr="00BD3951"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t>
      </w:r>
      <w:proofErr w:type="gramStart"/>
      <w:r w:rsidRPr="00BD3951">
        <w:rPr>
          <w:color w:val="000000"/>
          <w:sz w:val="22"/>
        </w:rPr>
        <w:t>Why</w:t>
      </w:r>
      <w:proofErr w:type="gramEnd"/>
      <w:r w:rsidRPr="00BD3951">
        <w:rPr>
          <w:color w:val="000000"/>
          <w:sz w:val="22"/>
        </w:rPr>
        <w:t xml:space="preserve"> does the Phoenix chip have a higher defect rate than </w:t>
      </w:r>
      <w:proofErr w:type="spellStart"/>
      <w:r w:rsidRPr="00BD3951">
        <w:rPr>
          <w:color w:val="000000"/>
          <w:sz w:val="22"/>
        </w:rPr>
        <w:t>BlueDragon</w:t>
      </w:r>
      <w:proofErr w:type="spellEnd"/>
      <w:r w:rsidRPr="00BD3951">
        <w:rPr>
          <w:color w:val="000000"/>
          <w:sz w:val="22"/>
        </w:rPr>
        <w:t>?</w:t>
      </w:r>
    </w:p>
    <w:p w:rsidR="004D1DC8" w:rsidRDefault="004D1DC8" w:rsidP="00A77B43">
      <w:pPr>
        <w:adjustRightInd w:val="0"/>
        <w:spacing w:before="120" w:after="120"/>
        <w:rPr>
          <w:i/>
          <w:color w:val="000000"/>
        </w:rPr>
      </w:pPr>
    </w:p>
    <w:p w:rsidR="000C168D" w:rsidRPr="00F72ECC" w:rsidRDefault="000C168D" w:rsidP="00A77B43">
      <w:pPr>
        <w:adjustRightInd w:val="0"/>
        <w:spacing w:before="120" w:after="120"/>
        <w:rPr>
          <w:i/>
          <w:color w:val="000000"/>
        </w:rPr>
      </w:pPr>
    </w:p>
    <w:p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w:t>
      </w:r>
      <w:proofErr w:type="gramStart"/>
      <w:r w:rsidRPr="00BD3951">
        <w:rPr>
          <w:color w:val="000000"/>
          <w:sz w:val="22"/>
        </w:rPr>
        <w:t>They</w:t>
      </w:r>
      <w:proofErr w:type="gramEnd"/>
      <w:r w:rsidRPr="00BD3951">
        <w:rPr>
          <w:color w:val="000000"/>
          <w:sz w:val="22"/>
        </w:rPr>
        <w:t xml:space="preserve">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rsidR="00643376" w:rsidRDefault="00643376" w:rsidP="00ED1541">
      <w:pPr>
        <w:adjustRightInd w:val="0"/>
        <w:spacing w:before="120" w:after="120"/>
        <w:ind w:left="720"/>
        <w:rPr>
          <w:color w:val="000000"/>
          <w:sz w:val="22"/>
        </w:rPr>
      </w:pPr>
    </w:p>
    <w:p w:rsidR="000C168D" w:rsidRDefault="000C168D" w:rsidP="00ED1541">
      <w:pPr>
        <w:adjustRightInd w:val="0"/>
        <w:spacing w:before="120" w:after="120"/>
        <w:ind w:left="720"/>
        <w:rPr>
          <w:color w:val="000000"/>
          <w:sz w:val="22"/>
        </w:rPr>
      </w:pPr>
    </w:p>
    <w:p w:rsidR="000C168D" w:rsidRDefault="000C168D" w:rsidP="00ED1541">
      <w:pPr>
        <w:adjustRightInd w:val="0"/>
        <w:spacing w:before="120" w:after="120"/>
        <w:ind w:left="720"/>
        <w:rPr>
          <w:color w:val="000000"/>
          <w:sz w:val="22"/>
        </w:rPr>
      </w:pPr>
    </w:p>
    <w:p w:rsidR="000C168D" w:rsidRDefault="000C168D" w:rsidP="00ED1541">
      <w:pPr>
        <w:adjustRightInd w:val="0"/>
        <w:spacing w:before="120" w:after="120"/>
        <w:ind w:left="720"/>
        <w:rPr>
          <w:color w:val="000000"/>
          <w:sz w:val="22"/>
        </w:rPr>
      </w:pPr>
    </w:p>
    <w:p w:rsidR="000C168D" w:rsidRPr="00BD3951" w:rsidRDefault="000C168D" w:rsidP="00ED1541">
      <w:pPr>
        <w:adjustRightInd w:val="0"/>
        <w:spacing w:before="120" w:after="120"/>
        <w:ind w:left="720"/>
        <w:rPr>
          <w:color w:val="000000"/>
          <w:sz w:val="22"/>
        </w:rPr>
      </w:pPr>
    </w:p>
    <w:p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rsidR="00ED1541" w:rsidRPr="00BD3951" w:rsidRDefault="00ED1541" w:rsidP="00ED1541">
      <w:pPr>
        <w:pStyle w:val="ListParagraph"/>
        <w:adjustRightInd w:val="0"/>
        <w:spacing w:before="120" w:after="120"/>
        <w:ind w:left="864"/>
        <w:contextualSpacing w:val="0"/>
        <w:rPr>
          <w:color w:val="000000"/>
          <w:sz w:val="22"/>
        </w:rPr>
      </w:pPr>
    </w:p>
    <w:p w:rsidR="00CD4FDA" w:rsidRPr="00F72ECC" w:rsidRDefault="00CD4FDA" w:rsidP="00643376">
      <w:pPr>
        <w:adjustRightInd w:val="0"/>
        <w:spacing w:before="120" w:after="120"/>
        <w:rPr>
          <w:color w:val="000000"/>
        </w:rPr>
      </w:pPr>
    </w:p>
    <w:p w:rsidR="00BE3B8B" w:rsidRPr="00F72ECC" w:rsidRDefault="00BE3B8B" w:rsidP="008879E5">
      <w:pPr>
        <w:adjustRightInd w:val="0"/>
        <w:rPr>
          <w:i/>
          <w:color w:val="000000"/>
        </w:rPr>
      </w:pPr>
    </w:p>
    <w:p w:rsidR="008879E5" w:rsidRPr="00F72ECC" w:rsidRDefault="008879E5" w:rsidP="008879E5">
      <w:pPr>
        <w:autoSpaceDE/>
        <w:autoSpaceDN/>
        <w:rPr>
          <w:color w:val="000000"/>
        </w:rPr>
      </w:pPr>
    </w:p>
    <w:p w:rsidR="008879E5" w:rsidRPr="00F72ECC" w:rsidRDefault="008879E5" w:rsidP="008879E5">
      <w:pPr>
        <w:autoSpaceDE/>
        <w:autoSpaceDN/>
        <w:rPr>
          <w:color w:val="000000"/>
        </w:rPr>
      </w:pPr>
    </w:p>
    <w:p w:rsidR="00FC04D6" w:rsidRDefault="008879E5" w:rsidP="00C07440">
      <w:pPr>
        <w:autoSpaceDE/>
        <w:autoSpaceDN/>
        <w:rPr>
          <w:color w:val="000000"/>
        </w:rPr>
      </w:pPr>
      <w:r w:rsidRPr="00F72ECC">
        <w:rPr>
          <w:color w:val="000000"/>
        </w:rPr>
        <w:br w:type="page"/>
      </w:r>
    </w:p>
    <w:p w:rsidR="00FC04D6" w:rsidRPr="00FC04D6" w:rsidRDefault="00FC04D6" w:rsidP="00FC04D6">
      <w:pPr>
        <w:adjustRightInd w:val="0"/>
        <w:rPr>
          <w:b/>
          <w:bCs/>
          <w:color w:val="000000"/>
          <w:sz w:val="24"/>
          <w:szCs w:val="24"/>
        </w:rPr>
      </w:pPr>
      <w:r w:rsidRPr="00FC04D6">
        <w:rPr>
          <w:b/>
          <w:bCs/>
          <w:color w:val="000000"/>
          <w:sz w:val="24"/>
          <w:szCs w:val="24"/>
        </w:rPr>
        <w:lastRenderedPageBreak/>
        <w:t>Case Study 2: Power Consumption in Computer Systems</w:t>
      </w:r>
    </w:p>
    <w:p w:rsidR="00FC04D6" w:rsidRDefault="00FC04D6" w:rsidP="00C07440">
      <w:pPr>
        <w:autoSpaceDE/>
        <w:autoSpaceDN/>
        <w:rPr>
          <w:color w:val="000000"/>
        </w:rPr>
      </w:pPr>
    </w:p>
    <w:p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rsidR="004C124B" w:rsidRPr="00BD3951" w:rsidRDefault="004C124B" w:rsidP="00C07440">
      <w:pPr>
        <w:autoSpaceDE/>
        <w:autoSpaceDN/>
        <w:rPr>
          <w:color w:val="000000"/>
          <w:sz w:val="22"/>
          <w:szCs w:val="22"/>
        </w:rPr>
      </w:pPr>
    </w:p>
    <w:p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xml:space="preserve">] &lt;1.5&gt; </w:t>
      </w:r>
      <w:proofErr w:type="gramStart"/>
      <w:r w:rsidRPr="00BD3951">
        <w:rPr>
          <w:color w:val="000000"/>
          <w:sz w:val="22"/>
          <w:szCs w:val="22"/>
        </w:rPr>
        <w:t>How</w:t>
      </w:r>
      <w:proofErr w:type="gramEnd"/>
      <w:r w:rsidRPr="00BD3951">
        <w:rPr>
          <w:color w:val="000000"/>
          <w:sz w:val="22"/>
          <w:szCs w:val="22"/>
        </w:rPr>
        <w:t xml:space="preserve">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rsidR="008105B9" w:rsidRPr="00BD3951" w:rsidRDefault="008105B9" w:rsidP="008105B9">
      <w:pPr>
        <w:pStyle w:val="ListParagraph"/>
        <w:autoSpaceDE/>
        <w:autoSpaceDN/>
        <w:rPr>
          <w:color w:val="000000"/>
          <w:sz w:val="22"/>
          <w:szCs w:val="22"/>
        </w:rPr>
      </w:pPr>
    </w:p>
    <w:p w:rsidR="008105B9" w:rsidRDefault="008105B9" w:rsidP="008105B9">
      <w:pPr>
        <w:pStyle w:val="ListParagraph"/>
        <w:autoSpaceDE/>
        <w:autoSpaceDN/>
        <w:rPr>
          <w:color w:val="000000"/>
          <w:sz w:val="22"/>
          <w:szCs w:val="22"/>
        </w:rPr>
      </w:pPr>
    </w:p>
    <w:p w:rsidR="000C168D" w:rsidRPr="00BD3951" w:rsidRDefault="000C168D" w:rsidP="008105B9">
      <w:pPr>
        <w:pStyle w:val="ListParagraph"/>
        <w:autoSpaceDE/>
        <w:autoSpaceDN/>
        <w:rPr>
          <w:color w:val="000000"/>
          <w:sz w:val="22"/>
          <w:szCs w:val="22"/>
        </w:rPr>
      </w:pPr>
    </w:p>
    <w:p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xml:space="preserve">] &lt;1.5&gt; </w:t>
      </w:r>
      <w:proofErr w:type="gramStart"/>
      <w:r w:rsidRPr="00BD3951">
        <w:rPr>
          <w:color w:val="000000"/>
          <w:sz w:val="22"/>
          <w:szCs w:val="22"/>
        </w:rPr>
        <w:t>How</w:t>
      </w:r>
      <w:proofErr w:type="gramEnd"/>
      <w:r w:rsidRPr="00BD3951">
        <w:rPr>
          <w:color w:val="000000"/>
          <w:sz w:val="22"/>
          <w:szCs w:val="22"/>
        </w:rPr>
        <w:t xml:space="preserve"> much dynamic energy and power are required using frequency and voltage scaling? Assume frequency and voltage are both reduced to 1/8 the entire time.</w:t>
      </w:r>
    </w:p>
    <w:p w:rsidR="008105B9" w:rsidRPr="00BD3951" w:rsidRDefault="008105B9" w:rsidP="008105B9">
      <w:pPr>
        <w:pStyle w:val="ListParagraph"/>
        <w:autoSpaceDE/>
        <w:autoSpaceDN/>
        <w:rPr>
          <w:color w:val="000000"/>
          <w:sz w:val="22"/>
          <w:szCs w:val="22"/>
        </w:rPr>
      </w:pPr>
    </w:p>
    <w:p w:rsidR="000C168D" w:rsidRDefault="000C168D" w:rsidP="0025384A">
      <w:pPr>
        <w:pStyle w:val="ListParagraph"/>
        <w:autoSpaceDE/>
        <w:autoSpaceDN/>
        <w:rPr>
          <w:i/>
          <w:color w:val="000000"/>
          <w:sz w:val="22"/>
          <w:szCs w:val="22"/>
        </w:rPr>
      </w:pPr>
    </w:p>
    <w:p w:rsidR="008105B9" w:rsidRDefault="008105B9" w:rsidP="008105B9">
      <w:pPr>
        <w:pStyle w:val="ListParagraph"/>
        <w:autoSpaceDE/>
        <w:autoSpaceDN/>
        <w:rPr>
          <w:color w:val="000000"/>
          <w:sz w:val="22"/>
          <w:szCs w:val="22"/>
        </w:rPr>
      </w:pPr>
    </w:p>
    <w:p w:rsidR="000C168D" w:rsidRPr="00BD3951" w:rsidRDefault="000C168D" w:rsidP="008105B9">
      <w:pPr>
        <w:pStyle w:val="ListParagraph"/>
        <w:autoSpaceDE/>
        <w:autoSpaceDN/>
        <w:rPr>
          <w:color w:val="000000"/>
          <w:sz w:val="22"/>
          <w:szCs w:val="22"/>
        </w:rPr>
      </w:pPr>
    </w:p>
    <w:p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rsidR="008105B9" w:rsidRPr="00BD3951" w:rsidRDefault="008105B9" w:rsidP="008105B9">
      <w:pPr>
        <w:pStyle w:val="ListParagraph"/>
        <w:autoSpaceDE/>
        <w:autoSpaceDN/>
        <w:rPr>
          <w:color w:val="000000"/>
          <w:sz w:val="22"/>
          <w:szCs w:val="22"/>
        </w:rPr>
      </w:pPr>
    </w:p>
    <w:p w:rsidR="000C168D" w:rsidRDefault="000C168D" w:rsidP="0025384A">
      <w:pPr>
        <w:adjustRightInd w:val="0"/>
        <w:ind w:left="720"/>
        <w:rPr>
          <w:i/>
          <w:sz w:val="22"/>
          <w:szCs w:val="22"/>
        </w:rPr>
      </w:pPr>
    </w:p>
    <w:p w:rsidR="008105B9" w:rsidRDefault="008105B9" w:rsidP="008105B9">
      <w:pPr>
        <w:pStyle w:val="ListParagraph"/>
        <w:autoSpaceDE/>
        <w:autoSpaceDN/>
        <w:rPr>
          <w:color w:val="000000"/>
          <w:sz w:val="22"/>
          <w:szCs w:val="22"/>
        </w:rPr>
      </w:pPr>
    </w:p>
    <w:p w:rsidR="000C168D" w:rsidRPr="00BD3951" w:rsidRDefault="000C168D" w:rsidP="008105B9">
      <w:pPr>
        <w:pStyle w:val="ListParagraph"/>
        <w:autoSpaceDE/>
        <w:autoSpaceDN/>
        <w:rPr>
          <w:color w:val="000000"/>
          <w:sz w:val="22"/>
          <w:szCs w:val="22"/>
        </w:rPr>
      </w:pPr>
    </w:p>
    <w:p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xml:space="preserve">] &lt;1.5&gt; </w:t>
      </w:r>
      <w:proofErr w:type="gramStart"/>
      <w:r w:rsidRPr="00BD3951">
        <w:rPr>
          <w:color w:val="000000"/>
          <w:sz w:val="22"/>
          <w:szCs w:val="22"/>
        </w:rPr>
        <w:t>How</w:t>
      </w:r>
      <w:proofErr w:type="gramEnd"/>
      <w:r w:rsidRPr="00BD3951">
        <w:rPr>
          <w:color w:val="000000"/>
          <w:sz w:val="22"/>
          <w:szCs w:val="22"/>
        </w:rPr>
        <w:t xml:space="preserve">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rsidR="008879E5" w:rsidRPr="00BD3951" w:rsidRDefault="008879E5" w:rsidP="008879E5">
      <w:pPr>
        <w:autoSpaceDE/>
        <w:autoSpaceDN/>
        <w:rPr>
          <w:color w:val="000000"/>
          <w:sz w:val="22"/>
          <w:szCs w:val="22"/>
        </w:rPr>
      </w:pPr>
    </w:p>
    <w:p w:rsidR="006B3918" w:rsidRPr="00F72ECC" w:rsidRDefault="006B3918" w:rsidP="006E455A">
      <w:pPr>
        <w:autoSpaceDE/>
        <w:autoSpaceDN/>
        <w:rPr>
          <w:color w:val="000000"/>
        </w:rPr>
      </w:pPr>
    </w:p>
    <w:p w:rsidR="006B3918" w:rsidRPr="00F72ECC" w:rsidRDefault="006B3918" w:rsidP="006E455A">
      <w:pPr>
        <w:autoSpaceDE/>
        <w:autoSpaceDN/>
        <w:rPr>
          <w:color w:val="000000"/>
        </w:rPr>
      </w:pPr>
    </w:p>
    <w:p w:rsidR="0025384A" w:rsidRDefault="0025384A">
      <w:pPr>
        <w:autoSpaceDE/>
        <w:autoSpaceDN/>
        <w:rPr>
          <w:color w:val="000000"/>
        </w:rPr>
      </w:pPr>
    </w:p>
    <w:p w:rsidR="0025384A" w:rsidRDefault="0025384A">
      <w:pPr>
        <w:autoSpaceDE/>
        <w:autoSpaceDN/>
        <w:rPr>
          <w:color w:val="000000"/>
        </w:rPr>
      </w:pPr>
    </w:p>
    <w:p w:rsidR="0025384A" w:rsidRDefault="0025384A">
      <w:pPr>
        <w:autoSpaceDE/>
        <w:autoSpaceDN/>
        <w:rPr>
          <w:color w:val="000000"/>
        </w:rPr>
      </w:pPr>
      <w:r>
        <w:rPr>
          <w:color w:val="000000"/>
        </w:rPr>
        <w:br w:type="page"/>
      </w:r>
    </w:p>
    <w:p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rsidR="00FC04D6" w:rsidRDefault="00FC04D6" w:rsidP="008105B9">
      <w:pPr>
        <w:autoSpaceDE/>
        <w:autoSpaceDN/>
        <w:rPr>
          <w:color w:val="000000"/>
        </w:rPr>
      </w:pPr>
    </w:p>
    <w:p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rsidR="008105B9" w:rsidRPr="00BD3951" w:rsidRDefault="008105B9" w:rsidP="008105B9">
      <w:pPr>
        <w:autoSpaceDE/>
        <w:autoSpaceDN/>
        <w:rPr>
          <w:color w:val="000000"/>
          <w:sz w:val="22"/>
        </w:rPr>
      </w:pPr>
    </w:p>
    <w:p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rsidR="008105B9" w:rsidRPr="00BD3951" w:rsidRDefault="008105B9" w:rsidP="008105B9">
      <w:pPr>
        <w:pStyle w:val="ListParagraph"/>
        <w:autoSpaceDE/>
        <w:autoSpaceDN/>
        <w:rPr>
          <w:color w:val="000000"/>
          <w:sz w:val="22"/>
        </w:rPr>
      </w:pPr>
    </w:p>
    <w:p w:rsidR="008105B9" w:rsidRDefault="008105B9"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Pr="00BD3951" w:rsidRDefault="000C168D" w:rsidP="008105B9">
      <w:pPr>
        <w:pStyle w:val="ListParagraph"/>
        <w:autoSpaceDE/>
        <w:autoSpaceDN/>
        <w:rPr>
          <w:color w:val="000000"/>
          <w:sz w:val="22"/>
        </w:rPr>
      </w:pPr>
    </w:p>
    <w:p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 xml:space="preserve">5] &lt;1.5&gt; </w:t>
      </w:r>
      <w:proofErr w:type="gramStart"/>
      <w:r w:rsidR="008105B9" w:rsidRPr="00BD3951">
        <w:rPr>
          <w:color w:val="000000"/>
          <w:sz w:val="22"/>
        </w:rPr>
        <w:t>The</w:t>
      </w:r>
      <w:proofErr w:type="gramEnd"/>
      <w:r w:rsidR="008105B9" w:rsidRPr="00BD3951">
        <w:rPr>
          <w:color w:val="000000"/>
          <w:sz w:val="22"/>
        </w:rPr>
        <w:t xml:space="preserve"> increase in performance once mirrored this trend. Had performance continued to climb at the same rate as in the 1990s, approximately what performance would chips have over the VAX-11/780 in 2025?</w:t>
      </w:r>
    </w:p>
    <w:p w:rsidR="008105B9" w:rsidRPr="00BD3951" w:rsidRDefault="008105B9" w:rsidP="008105B9">
      <w:pPr>
        <w:pStyle w:val="ListParagraph"/>
        <w:autoSpaceDE/>
        <w:autoSpaceDN/>
        <w:rPr>
          <w:color w:val="000000"/>
          <w:sz w:val="22"/>
        </w:rPr>
      </w:pPr>
    </w:p>
    <w:p w:rsidR="008105B9" w:rsidRDefault="008105B9" w:rsidP="008105B9">
      <w:pPr>
        <w:pStyle w:val="ListParagraph"/>
        <w:autoSpaceDE/>
        <w:autoSpaceDN/>
        <w:rPr>
          <w:color w:val="000000"/>
          <w:sz w:val="22"/>
        </w:rPr>
      </w:pPr>
    </w:p>
    <w:p w:rsidR="000C168D" w:rsidRPr="00BD3951" w:rsidRDefault="000C168D" w:rsidP="008105B9">
      <w:pPr>
        <w:pStyle w:val="ListParagraph"/>
        <w:autoSpaceDE/>
        <w:autoSpaceDN/>
        <w:rPr>
          <w:color w:val="000000"/>
          <w:sz w:val="22"/>
        </w:rPr>
      </w:pPr>
    </w:p>
    <w:p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 xml:space="preserve">5] &lt;1.5&gt; </w:t>
      </w:r>
      <w:proofErr w:type="gramStart"/>
      <w:r w:rsidR="008105B9" w:rsidRPr="00BD3951">
        <w:rPr>
          <w:color w:val="000000"/>
          <w:sz w:val="22"/>
        </w:rPr>
        <w:t>At</w:t>
      </w:r>
      <w:proofErr w:type="gramEnd"/>
      <w:r w:rsidR="008105B9" w:rsidRPr="00BD3951">
        <w:rPr>
          <w:color w:val="000000"/>
          <w:sz w:val="22"/>
        </w:rPr>
        <w:t xml:space="preserve"> the current rate of increase of the mid-2000s, what is a more updated projection of performance in 2025?</w:t>
      </w:r>
    </w:p>
    <w:p w:rsidR="008105B9" w:rsidRPr="00BD3951" w:rsidRDefault="008105B9" w:rsidP="008105B9">
      <w:pPr>
        <w:autoSpaceDE/>
        <w:autoSpaceDN/>
        <w:rPr>
          <w:i/>
          <w:color w:val="000000"/>
          <w:sz w:val="22"/>
        </w:rPr>
      </w:pPr>
    </w:p>
    <w:p w:rsidR="008105B9" w:rsidRDefault="008105B9" w:rsidP="008105B9">
      <w:pPr>
        <w:pStyle w:val="ListParagraph"/>
        <w:autoSpaceDE/>
        <w:autoSpaceDN/>
        <w:rPr>
          <w:color w:val="000000"/>
          <w:sz w:val="22"/>
        </w:rPr>
      </w:pPr>
    </w:p>
    <w:p w:rsidR="000C168D" w:rsidRDefault="000C168D" w:rsidP="008105B9">
      <w:pPr>
        <w:pStyle w:val="ListParagraph"/>
        <w:autoSpaceDE/>
        <w:autoSpaceDN/>
        <w:rPr>
          <w:color w:val="000000"/>
          <w:sz w:val="22"/>
        </w:rPr>
      </w:pPr>
      <w:bookmarkStart w:id="0" w:name="_GoBack"/>
      <w:bookmarkEnd w:id="0"/>
    </w:p>
    <w:p w:rsidR="000C168D" w:rsidRPr="00BD3951" w:rsidRDefault="000C168D" w:rsidP="008105B9">
      <w:pPr>
        <w:pStyle w:val="ListParagraph"/>
        <w:autoSpaceDE/>
        <w:autoSpaceDN/>
        <w:rPr>
          <w:color w:val="000000"/>
          <w:sz w:val="22"/>
        </w:rPr>
      </w:pPr>
    </w:p>
    <w:p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xml:space="preserve">] &lt;1.4&gt; </w:t>
      </w:r>
      <w:proofErr w:type="gramStart"/>
      <w:r w:rsidR="008105B9" w:rsidRPr="00BD3951">
        <w:rPr>
          <w:color w:val="000000"/>
          <w:sz w:val="22"/>
        </w:rPr>
        <w:t>What</w:t>
      </w:r>
      <w:proofErr w:type="gramEnd"/>
      <w:r w:rsidR="008105B9" w:rsidRPr="00BD3951">
        <w:rPr>
          <w:color w:val="000000"/>
          <w:sz w:val="22"/>
        </w:rPr>
        <w:t xml:space="preserve"> has limited the rate of growth of the clock rate, and what are architects doing with the extra transistors now to increase performance?</w:t>
      </w:r>
    </w:p>
    <w:p w:rsidR="008105B9" w:rsidRPr="00BD3951" w:rsidRDefault="008105B9" w:rsidP="008105B9">
      <w:pPr>
        <w:autoSpaceDE/>
        <w:autoSpaceDN/>
        <w:rPr>
          <w:i/>
          <w:color w:val="000000"/>
          <w:sz w:val="22"/>
        </w:rPr>
      </w:pPr>
    </w:p>
    <w:p w:rsidR="008105B9" w:rsidRDefault="008105B9"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Default="000C168D" w:rsidP="008105B9">
      <w:pPr>
        <w:pStyle w:val="ListParagraph"/>
        <w:autoSpaceDE/>
        <w:autoSpaceDN/>
        <w:rPr>
          <w:color w:val="000000"/>
          <w:sz w:val="22"/>
        </w:rPr>
      </w:pPr>
    </w:p>
    <w:p w:rsidR="000C168D" w:rsidRPr="00BD3951" w:rsidRDefault="000C168D" w:rsidP="008105B9">
      <w:pPr>
        <w:pStyle w:val="ListParagraph"/>
        <w:autoSpaceDE/>
        <w:autoSpaceDN/>
        <w:rPr>
          <w:color w:val="000000"/>
          <w:sz w:val="22"/>
        </w:rPr>
      </w:pPr>
    </w:p>
    <w:p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xml:space="preserve">] &lt;1.4&gt; </w:t>
      </w:r>
      <w:proofErr w:type="gramStart"/>
      <w:r w:rsidR="008105B9" w:rsidRPr="00BD3951">
        <w:rPr>
          <w:color w:val="000000"/>
          <w:sz w:val="22"/>
        </w:rPr>
        <w:t>The</w:t>
      </w:r>
      <w:proofErr w:type="gramEnd"/>
      <w:r w:rsidR="008105B9" w:rsidRPr="00BD3951">
        <w:rPr>
          <w:color w:val="000000"/>
          <w:sz w:val="22"/>
        </w:rPr>
        <w:t xml:space="preserve"> rate of growth for DRAM capacity has also slowed down. For 20 years, DRAM capacity improved by 60% each year. If 8 </w:t>
      </w:r>
      <w:proofErr w:type="spellStart"/>
      <w:r w:rsidR="008105B9" w:rsidRPr="00BD3951">
        <w:rPr>
          <w:color w:val="000000"/>
          <w:sz w:val="22"/>
        </w:rPr>
        <w:t>Gbit</w:t>
      </w:r>
      <w:proofErr w:type="spellEnd"/>
      <w:r w:rsidR="008105B9" w:rsidRPr="00BD3951">
        <w:rPr>
          <w:color w:val="000000"/>
          <w:sz w:val="22"/>
        </w:rPr>
        <w:t xml:space="preserve"> DRAM was first available in 2015, and 16 </w:t>
      </w:r>
      <w:proofErr w:type="spellStart"/>
      <w:r w:rsidR="008105B9" w:rsidRPr="00BD3951">
        <w:rPr>
          <w:color w:val="000000"/>
          <w:sz w:val="22"/>
        </w:rPr>
        <w:t>Gbit</w:t>
      </w:r>
      <w:proofErr w:type="spellEnd"/>
      <w:r w:rsidR="008105B9" w:rsidRPr="00BD3951">
        <w:rPr>
          <w:color w:val="000000"/>
          <w:sz w:val="22"/>
        </w:rPr>
        <w:t xml:space="preserve"> is not available until 2019, what is the current DRAM growth rate?</w:t>
      </w:r>
    </w:p>
    <w:p w:rsidR="00F72ECC" w:rsidRPr="00A40CC5" w:rsidRDefault="00F72ECC" w:rsidP="00A40CC5">
      <w:pPr>
        <w:autoSpaceDE/>
        <w:autoSpaceDN/>
        <w:rPr>
          <w:i/>
          <w:color w:val="000000"/>
          <w:sz w:val="22"/>
        </w:rPr>
      </w:pPr>
    </w:p>
    <w:p w:rsidR="006E455A" w:rsidRPr="00A40CC5" w:rsidRDefault="006E455A" w:rsidP="00A40CC5">
      <w:pPr>
        <w:autoSpaceDE/>
        <w:autoSpaceDN/>
        <w:ind w:left="720"/>
        <w:rPr>
          <w:i/>
          <w:color w:val="000000"/>
          <w:sz w:val="22"/>
        </w:rPr>
      </w:pPr>
      <w:r w:rsidRPr="00A40CC5">
        <w:rPr>
          <w:i/>
          <w:color w:val="000000"/>
          <w:sz w:val="22"/>
        </w:rPr>
        <w:br w:type="page"/>
      </w:r>
    </w:p>
    <w:p w:rsidR="00A93317" w:rsidRDefault="004C124B" w:rsidP="00A93317">
      <w:pPr>
        <w:autoSpaceDE/>
        <w:autoSpaceDN/>
        <w:rPr>
          <w:color w:val="000000"/>
          <w:sz w:val="22"/>
        </w:rPr>
      </w:pPr>
      <w:r>
        <w:rPr>
          <w:color w:val="000000"/>
          <w:sz w:val="22"/>
        </w:rPr>
        <w:lastRenderedPageBreak/>
        <w:t>1.8 [5/5</w:t>
      </w:r>
      <w:r w:rsidR="00A93317" w:rsidRPr="00A93317">
        <w:rPr>
          <w:color w:val="000000"/>
          <w:sz w:val="22"/>
        </w:rPr>
        <w:t xml:space="preserve">] &lt;1.5&gt; </w:t>
      </w:r>
      <w:proofErr w:type="gramStart"/>
      <w:r w:rsidR="00A93317" w:rsidRPr="00A93317">
        <w:rPr>
          <w:color w:val="000000"/>
          <w:sz w:val="22"/>
        </w:rPr>
        <w:t>You</w:t>
      </w:r>
      <w:proofErr w:type="gramEnd"/>
      <w:r w:rsidR="00A93317" w:rsidRPr="00A93317">
        <w:rPr>
          <w:color w:val="000000"/>
          <w:sz w:val="22"/>
        </w:rPr>
        <w:t xml:space="preserve"> are designing a system for a real-time application in which specific deadlines must be met. Finishing the computation faster gains nothing. You find that your system can execute the necessary code, in the worst case, twice as fast as necessary.</w:t>
      </w:r>
    </w:p>
    <w:p w:rsidR="00404915" w:rsidRPr="00A93317" w:rsidRDefault="00404915" w:rsidP="00A93317">
      <w:pPr>
        <w:autoSpaceDE/>
        <w:autoSpaceDN/>
        <w:rPr>
          <w:color w:val="000000"/>
          <w:sz w:val="22"/>
        </w:rPr>
      </w:pPr>
    </w:p>
    <w:p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rsidR="00404915" w:rsidRDefault="00404915" w:rsidP="00404915">
      <w:pPr>
        <w:pStyle w:val="ListParagraph"/>
        <w:autoSpaceDE/>
        <w:autoSpaceDN/>
        <w:rPr>
          <w:color w:val="000000"/>
          <w:sz w:val="22"/>
        </w:rPr>
      </w:pPr>
    </w:p>
    <w:p w:rsidR="00404915" w:rsidRPr="00404915" w:rsidRDefault="00404915" w:rsidP="00404915">
      <w:pPr>
        <w:autoSpaceDE/>
        <w:autoSpaceDN/>
        <w:ind w:left="720"/>
        <w:rPr>
          <w:i/>
          <w:color w:val="000000"/>
          <w:sz w:val="22"/>
        </w:rPr>
      </w:pPr>
      <w:r w:rsidRPr="00404915">
        <w:rPr>
          <w:i/>
          <w:color w:val="000000"/>
          <w:sz w:val="22"/>
        </w:rPr>
        <w:t> </w:t>
      </w:r>
    </w:p>
    <w:p w:rsidR="00A93317" w:rsidRPr="00A93317" w:rsidRDefault="00A93317" w:rsidP="00A93317">
      <w:pPr>
        <w:autoSpaceDE/>
        <w:autoSpaceDN/>
        <w:rPr>
          <w:color w:val="000000"/>
          <w:sz w:val="22"/>
        </w:rPr>
      </w:pPr>
    </w:p>
    <w:p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p>
    <w:p w:rsidR="00A93317" w:rsidRPr="00A93317" w:rsidRDefault="00A93317" w:rsidP="00A93317">
      <w:pPr>
        <w:pStyle w:val="ListParagraph"/>
        <w:rPr>
          <w:color w:val="000000"/>
          <w:sz w:val="22"/>
        </w:rPr>
      </w:pPr>
    </w:p>
    <w:p w:rsidR="00404915" w:rsidRPr="00404915" w:rsidRDefault="00404915" w:rsidP="00404915">
      <w:pPr>
        <w:autoSpaceDE/>
        <w:autoSpaceDN/>
        <w:ind w:left="720"/>
        <w:rPr>
          <w:i/>
          <w:color w:val="000000"/>
          <w:sz w:val="22"/>
        </w:rPr>
      </w:pPr>
    </w:p>
    <w:p w:rsidR="00404915" w:rsidRDefault="00404915" w:rsidP="00A93317">
      <w:pPr>
        <w:autoSpaceDE/>
        <w:autoSpaceDN/>
        <w:rPr>
          <w:color w:val="000000"/>
          <w:sz w:val="22"/>
        </w:rPr>
      </w:pPr>
    </w:p>
    <w:p w:rsidR="00A93317" w:rsidRDefault="00A93317" w:rsidP="00BD3951">
      <w:pPr>
        <w:autoSpaceDE/>
        <w:autoSpaceDN/>
        <w:rPr>
          <w:color w:val="000000"/>
          <w:sz w:val="22"/>
        </w:rPr>
      </w:pPr>
    </w:p>
    <w:p w:rsidR="00315099" w:rsidRDefault="00315099" w:rsidP="00BD3951">
      <w:pPr>
        <w:autoSpaceDE/>
        <w:autoSpaceDN/>
        <w:rPr>
          <w:color w:val="000000"/>
          <w:sz w:val="22"/>
        </w:rPr>
      </w:pPr>
    </w:p>
    <w:p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rsidR="00BD3951" w:rsidRPr="00BD3951" w:rsidRDefault="00BD3951" w:rsidP="00BD3951">
      <w:pPr>
        <w:autoSpaceDE/>
        <w:autoSpaceDN/>
        <w:rPr>
          <w:color w:val="000000"/>
          <w:sz w:val="22"/>
        </w:rPr>
      </w:pPr>
    </w:p>
    <w:p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xml:space="preserve">] &lt;1.10&gt; </w:t>
      </w:r>
      <w:proofErr w:type="gramStart"/>
      <w:r w:rsidRPr="00BD3951">
        <w:rPr>
          <w:color w:val="000000"/>
          <w:sz w:val="22"/>
        </w:rPr>
        <w:t>What</w:t>
      </w:r>
      <w:proofErr w:type="gramEnd"/>
      <w:r w:rsidRPr="00BD3951">
        <w:rPr>
          <w:color w:val="000000"/>
          <w:sz w:val="22"/>
        </w:rPr>
        <w:t xml:space="preserve"> is the speedup with N processors if 80% of the application is parallelizable, ignoring the cost of communication?</w:t>
      </w:r>
    </w:p>
    <w:p w:rsidR="00404915" w:rsidRDefault="00404915" w:rsidP="00BD3951">
      <w:pPr>
        <w:autoSpaceDE/>
        <w:autoSpaceDN/>
        <w:rPr>
          <w:color w:val="000000"/>
          <w:sz w:val="22"/>
        </w:rPr>
      </w:pPr>
    </w:p>
    <w:p w:rsidR="000C168D" w:rsidRDefault="000C168D" w:rsidP="00BD3951">
      <w:pPr>
        <w:autoSpaceDE/>
        <w:autoSpaceDN/>
        <w:rPr>
          <w:color w:val="000000"/>
          <w:sz w:val="22"/>
        </w:rPr>
      </w:pPr>
    </w:p>
    <w:p w:rsidR="000C168D" w:rsidRPr="00BD3951" w:rsidRDefault="000C168D" w:rsidP="00BD3951">
      <w:pPr>
        <w:autoSpaceDE/>
        <w:autoSpaceDN/>
        <w:rPr>
          <w:color w:val="000000"/>
          <w:sz w:val="22"/>
        </w:rPr>
      </w:pPr>
    </w:p>
    <w:p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xml:space="preserve">] &lt;1.10&gt; </w:t>
      </w:r>
      <w:proofErr w:type="gramStart"/>
      <w:r w:rsidRPr="00BD3951">
        <w:rPr>
          <w:color w:val="000000"/>
          <w:sz w:val="22"/>
        </w:rPr>
        <w:t>What</w:t>
      </w:r>
      <w:proofErr w:type="gramEnd"/>
      <w:r w:rsidRPr="00BD3951">
        <w:rPr>
          <w:color w:val="000000"/>
          <w:sz w:val="22"/>
        </w:rPr>
        <w:t xml:space="preserve"> is the speedup with eight processors if, for every processor added, the communication overhead is 0.5% of the original execution time.</w:t>
      </w:r>
    </w:p>
    <w:p w:rsidR="00404915" w:rsidRDefault="00404915" w:rsidP="00BD3951">
      <w:pPr>
        <w:pStyle w:val="ListParagraph"/>
        <w:rPr>
          <w:color w:val="000000"/>
        </w:rPr>
      </w:pPr>
    </w:p>
    <w:p w:rsidR="000C168D" w:rsidRDefault="000C168D" w:rsidP="00BD3951">
      <w:pPr>
        <w:pStyle w:val="ListParagraph"/>
        <w:rPr>
          <w:color w:val="000000"/>
        </w:rPr>
      </w:pPr>
    </w:p>
    <w:p w:rsidR="000C168D" w:rsidRPr="00BD3951" w:rsidRDefault="000C168D" w:rsidP="00BD3951">
      <w:pPr>
        <w:pStyle w:val="ListParagraph"/>
        <w:rPr>
          <w:color w:val="000000"/>
          <w:sz w:val="22"/>
        </w:rPr>
      </w:pPr>
    </w:p>
    <w:p w:rsidR="00BD3951" w:rsidRPr="00BD3951" w:rsidRDefault="00BD3951" w:rsidP="00BD3951">
      <w:pPr>
        <w:autoSpaceDE/>
        <w:autoSpaceDN/>
        <w:rPr>
          <w:color w:val="000000"/>
          <w:sz w:val="22"/>
        </w:rPr>
      </w:pPr>
    </w:p>
    <w:p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xml:space="preserve">] &lt;1.10&gt; </w:t>
      </w:r>
      <w:proofErr w:type="gramStart"/>
      <w:r w:rsidRPr="00BD3951">
        <w:rPr>
          <w:color w:val="000000"/>
          <w:sz w:val="22"/>
        </w:rPr>
        <w:t>What</w:t>
      </w:r>
      <w:proofErr w:type="gramEnd"/>
      <w:r w:rsidRPr="00BD3951">
        <w:rPr>
          <w:color w:val="000000"/>
          <w:sz w:val="22"/>
        </w:rPr>
        <w:t xml:space="preserve"> is the speedup with eight processors if, for every time the number of processors is doubled, the communication overhead is increased by 0.5% of the original execution time?</w:t>
      </w:r>
    </w:p>
    <w:p w:rsidR="002C40C7" w:rsidRDefault="002C40C7" w:rsidP="002C40C7">
      <w:pPr>
        <w:autoSpaceDE/>
        <w:autoSpaceDN/>
        <w:ind w:firstLine="720"/>
        <w:rPr>
          <w:color w:val="000000"/>
        </w:rPr>
      </w:pPr>
    </w:p>
    <w:p w:rsidR="000C168D" w:rsidRDefault="000C168D" w:rsidP="002C40C7">
      <w:pPr>
        <w:autoSpaceDE/>
        <w:autoSpaceDN/>
        <w:ind w:firstLine="720"/>
        <w:rPr>
          <w:color w:val="000000"/>
        </w:rPr>
      </w:pPr>
    </w:p>
    <w:p w:rsidR="000C168D" w:rsidRDefault="000C168D" w:rsidP="002C40C7">
      <w:pPr>
        <w:autoSpaceDE/>
        <w:autoSpaceDN/>
        <w:ind w:firstLine="720"/>
        <w:rPr>
          <w:color w:val="000000"/>
          <w:sz w:val="22"/>
        </w:rPr>
      </w:pPr>
    </w:p>
    <w:p w:rsidR="002C40C7" w:rsidRPr="00BD3951" w:rsidRDefault="002C40C7" w:rsidP="00BD3951">
      <w:pPr>
        <w:autoSpaceDE/>
        <w:autoSpaceDN/>
        <w:rPr>
          <w:color w:val="000000"/>
          <w:sz w:val="22"/>
        </w:rPr>
      </w:pPr>
    </w:p>
    <w:p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xml:space="preserve">] &lt;1.10&gt; </w:t>
      </w:r>
      <w:proofErr w:type="gramStart"/>
      <w:r w:rsidRPr="00BD3951">
        <w:rPr>
          <w:color w:val="000000"/>
          <w:sz w:val="22"/>
        </w:rPr>
        <w:t>What</w:t>
      </w:r>
      <w:proofErr w:type="gramEnd"/>
      <w:r w:rsidRPr="00BD3951">
        <w:rPr>
          <w:color w:val="000000"/>
          <w:sz w:val="22"/>
        </w:rPr>
        <w:t xml:space="preserve"> is the speedup with N processors if, for every time the number of processors is doubled, the communication overhead is increased by 0.5% of the original execution time?</w:t>
      </w:r>
    </w:p>
    <w:p w:rsidR="00BD3951" w:rsidRPr="00BD3951" w:rsidRDefault="00BD3951" w:rsidP="00BD3951">
      <w:pPr>
        <w:pStyle w:val="ListParagraph"/>
        <w:rPr>
          <w:color w:val="000000"/>
          <w:sz w:val="22"/>
        </w:rPr>
      </w:pPr>
    </w:p>
    <w:p w:rsidR="00BD3951" w:rsidRDefault="00BD3951" w:rsidP="002C40C7">
      <w:pPr>
        <w:autoSpaceDE/>
        <w:autoSpaceDN/>
        <w:ind w:firstLine="720"/>
        <w:rPr>
          <w:color w:val="000000"/>
        </w:rPr>
      </w:pPr>
    </w:p>
    <w:p w:rsidR="000C168D" w:rsidRDefault="000C168D" w:rsidP="002C40C7">
      <w:pPr>
        <w:autoSpaceDE/>
        <w:autoSpaceDN/>
        <w:ind w:firstLine="720"/>
        <w:rPr>
          <w:color w:val="000000"/>
        </w:rPr>
      </w:pPr>
    </w:p>
    <w:p w:rsidR="000C168D" w:rsidRDefault="000C168D" w:rsidP="002C40C7">
      <w:pPr>
        <w:autoSpaceDE/>
        <w:autoSpaceDN/>
        <w:ind w:firstLine="720"/>
        <w:rPr>
          <w:color w:val="000000"/>
        </w:rPr>
      </w:pPr>
    </w:p>
    <w:p w:rsidR="00315099" w:rsidRPr="00BD3951" w:rsidRDefault="00315099" w:rsidP="002C40C7">
      <w:pPr>
        <w:autoSpaceDE/>
        <w:autoSpaceDN/>
        <w:ind w:firstLine="720"/>
        <w:rPr>
          <w:color w:val="000000"/>
          <w:sz w:val="22"/>
        </w:rPr>
      </w:pPr>
    </w:p>
    <w:p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rsidR="00315099" w:rsidRPr="00315099" w:rsidRDefault="00315099" w:rsidP="00315099">
      <w:pPr>
        <w:autoSpaceDE/>
        <w:autoSpaceDN/>
        <w:ind w:firstLine="720"/>
        <w:rPr>
          <w:color w:val="000000"/>
          <w:sz w:val="22"/>
        </w:rPr>
      </w:pPr>
    </w:p>
    <w:sectPr w:rsidR="00315099" w:rsidRPr="00315099" w:rsidSect="004D1DC8">
      <w:footerReference w:type="default" r:id="rId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B28" w:rsidRDefault="00460B28">
      <w:r>
        <w:separator/>
      </w:r>
    </w:p>
  </w:endnote>
  <w:endnote w:type="continuationSeparator" w:id="0">
    <w:p w:rsidR="00460B28" w:rsidRDefault="0046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46" w:rsidRDefault="00DB4D46">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sidR="000C168D">
      <w:rPr>
        <w:rStyle w:val="PageNumber"/>
        <w:noProof/>
      </w:rPr>
      <w:t>4</w:t>
    </w:r>
    <w:r>
      <w:rPr>
        <w:rStyle w:val="PageNumber"/>
      </w:rPr>
      <w:fldChar w:fldCharType="end"/>
    </w:r>
  </w:p>
  <w:p w:rsidR="00DB4D46" w:rsidRDefault="00DB4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B28" w:rsidRDefault="00460B28">
      <w:r>
        <w:separator/>
      </w:r>
    </w:p>
  </w:footnote>
  <w:footnote w:type="continuationSeparator" w:id="0">
    <w:p w:rsidR="00460B28" w:rsidRDefault="00460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9"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0"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
  </w:num>
  <w:num w:numId="3">
    <w:abstractNumId w:val="5"/>
  </w:num>
  <w:num w:numId="4">
    <w:abstractNumId w:val="6"/>
  </w:num>
  <w:num w:numId="5">
    <w:abstractNumId w:val="2"/>
  </w:num>
  <w:num w:numId="6">
    <w:abstractNumId w:val="15"/>
  </w:num>
  <w:num w:numId="7">
    <w:abstractNumId w:val="14"/>
  </w:num>
  <w:num w:numId="8">
    <w:abstractNumId w:val="16"/>
  </w:num>
  <w:num w:numId="9">
    <w:abstractNumId w:val="0"/>
  </w:num>
  <w:num w:numId="10">
    <w:abstractNumId w:val="9"/>
  </w:num>
  <w:num w:numId="11">
    <w:abstractNumId w:val="10"/>
  </w:num>
  <w:num w:numId="12">
    <w:abstractNumId w:val="12"/>
  </w:num>
  <w:num w:numId="13">
    <w:abstractNumId w:val="8"/>
  </w:num>
  <w:num w:numId="14">
    <w:abstractNumId w:val="3"/>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78"/>
    <w:rsid w:val="00004E2A"/>
    <w:rsid w:val="00005904"/>
    <w:rsid w:val="000163AD"/>
    <w:rsid w:val="00030CEA"/>
    <w:rsid w:val="0004111C"/>
    <w:rsid w:val="00041A64"/>
    <w:rsid w:val="00044319"/>
    <w:rsid w:val="000465F3"/>
    <w:rsid w:val="00046CCA"/>
    <w:rsid w:val="00047E5C"/>
    <w:rsid w:val="00051168"/>
    <w:rsid w:val="00061D98"/>
    <w:rsid w:val="000821C3"/>
    <w:rsid w:val="000865F5"/>
    <w:rsid w:val="000C1461"/>
    <w:rsid w:val="000C14BF"/>
    <w:rsid w:val="000C168D"/>
    <w:rsid w:val="000F1642"/>
    <w:rsid w:val="000F327A"/>
    <w:rsid w:val="000F524F"/>
    <w:rsid w:val="00101798"/>
    <w:rsid w:val="001131AE"/>
    <w:rsid w:val="0011511E"/>
    <w:rsid w:val="001309DE"/>
    <w:rsid w:val="0013392D"/>
    <w:rsid w:val="0013756D"/>
    <w:rsid w:val="001377CE"/>
    <w:rsid w:val="001A228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3ABE"/>
    <w:rsid w:val="00344E21"/>
    <w:rsid w:val="00346F93"/>
    <w:rsid w:val="0035014C"/>
    <w:rsid w:val="00366834"/>
    <w:rsid w:val="00371CE3"/>
    <w:rsid w:val="00380CD5"/>
    <w:rsid w:val="00390907"/>
    <w:rsid w:val="003A3DDC"/>
    <w:rsid w:val="003A3FA6"/>
    <w:rsid w:val="003B5F44"/>
    <w:rsid w:val="003B725D"/>
    <w:rsid w:val="003C71B7"/>
    <w:rsid w:val="003D2404"/>
    <w:rsid w:val="00401CD2"/>
    <w:rsid w:val="0040392E"/>
    <w:rsid w:val="00404915"/>
    <w:rsid w:val="00417852"/>
    <w:rsid w:val="00425FEF"/>
    <w:rsid w:val="00455C7B"/>
    <w:rsid w:val="00460B28"/>
    <w:rsid w:val="004922A2"/>
    <w:rsid w:val="004C124B"/>
    <w:rsid w:val="004C51E8"/>
    <w:rsid w:val="004D1DC8"/>
    <w:rsid w:val="004E0A02"/>
    <w:rsid w:val="00502639"/>
    <w:rsid w:val="0050499F"/>
    <w:rsid w:val="0051479A"/>
    <w:rsid w:val="005610CF"/>
    <w:rsid w:val="005954BF"/>
    <w:rsid w:val="005B1093"/>
    <w:rsid w:val="005C761B"/>
    <w:rsid w:val="005E301C"/>
    <w:rsid w:val="006063E0"/>
    <w:rsid w:val="00617D2F"/>
    <w:rsid w:val="006227C3"/>
    <w:rsid w:val="00622C58"/>
    <w:rsid w:val="00625B9A"/>
    <w:rsid w:val="00632444"/>
    <w:rsid w:val="00643376"/>
    <w:rsid w:val="006A76F7"/>
    <w:rsid w:val="006B3918"/>
    <w:rsid w:val="006C6E13"/>
    <w:rsid w:val="006E455A"/>
    <w:rsid w:val="00720E3A"/>
    <w:rsid w:val="00741AB6"/>
    <w:rsid w:val="00751F3E"/>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916DD3"/>
    <w:rsid w:val="00940D34"/>
    <w:rsid w:val="00943761"/>
    <w:rsid w:val="00946EC4"/>
    <w:rsid w:val="009623F7"/>
    <w:rsid w:val="00980C62"/>
    <w:rsid w:val="009903C1"/>
    <w:rsid w:val="00992707"/>
    <w:rsid w:val="009936FF"/>
    <w:rsid w:val="009C6C8B"/>
    <w:rsid w:val="009E4DE7"/>
    <w:rsid w:val="009E6A3C"/>
    <w:rsid w:val="009F65C3"/>
    <w:rsid w:val="00A155AF"/>
    <w:rsid w:val="00A32DF1"/>
    <w:rsid w:val="00A40CC5"/>
    <w:rsid w:val="00A7490C"/>
    <w:rsid w:val="00A77B43"/>
    <w:rsid w:val="00A77F0D"/>
    <w:rsid w:val="00A93317"/>
    <w:rsid w:val="00AA38D9"/>
    <w:rsid w:val="00AA7596"/>
    <w:rsid w:val="00AB0403"/>
    <w:rsid w:val="00AB2216"/>
    <w:rsid w:val="00AC5E3F"/>
    <w:rsid w:val="00AE1E11"/>
    <w:rsid w:val="00AE741B"/>
    <w:rsid w:val="00B0393D"/>
    <w:rsid w:val="00B04328"/>
    <w:rsid w:val="00B206EF"/>
    <w:rsid w:val="00B2415D"/>
    <w:rsid w:val="00B30314"/>
    <w:rsid w:val="00B41B4A"/>
    <w:rsid w:val="00B44CF7"/>
    <w:rsid w:val="00B63627"/>
    <w:rsid w:val="00B651FE"/>
    <w:rsid w:val="00B84FBF"/>
    <w:rsid w:val="00B94BE9"/>
    <w:rsid w:val="00B94EEA"/>
    <w:rsid w:val="00BB2E60"/>
    <w:rsid w:val="00BC6D75"/>
    <w:rsid w:val="00BD3951"/>
    <w:rsid w:val="00BD6325"/>
    <w:rsid w:val="00BD7DC3"/>
    <w:rsid w:val="00BE3B8B"/>
    <w:rsid w:val="00BE5B14"/>
    <w:rsid w:val="00C07440"/>
    <w:rsid w:val="00C36880"/>
    <w:rsid w:val="00C61660"/>
    <w:rsid w:val="00C74547"/>
    <w:rsid w:val="00C80704"/>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92574"/>
    <w:rsid w:val="00D961C0"/>
    <w:rsid w:val="00D97124"/>
    <w:rsid w:val="00DB0955"/>
    <w:rsid w:val="00DB4D46"/>
    <w:rsid w:val="00DC262A"/>
    <w:rsid w:val="00DD6D04"/>
    <w:rsid w:val="00DF1328"/>
    <w:rsid w:val="00E22635"/>
    <w:rsid w:val="00E43544"/>
    <w:rsid w:val="00ED1541"/>
    <w:rsid w:val="00ED33C1"/>
    <w:rsid w:val="00ED5E00"/>
    <w:rsid w:val="00F0473E"/>
    <w:rsid w:val="00F209B0"/>
    <w:rsid w:val="00F246E7"/>
    <w:rsid w:val="00F434C6"/>
    <w:rsid w:val="00F51C38"/>
    <w:rsid w:val="00F551C5"/>
    <w:rsid w:val="00F616B8"/>
    <w:rsid w:val="00F66109"/>
    <w:rsid w:val="00F727AA"/>
    <w:rsid w:val="00F72ECC"/>
    <w:rsid w:val="00F963FD"/>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F0B1D0-9CFE-4103-A27C-D2694470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Graham, Scott R Civ USAF AETC AFIT/ENG</cp:lastModifiedBy>
  <cp:revision>4</cp:revision>
  <cp:lastPrinted>2011-01-05T16:48:00Z</cp:lastPrinted>
  <dcterms:created xsi:type="dcterms:W3CDTF">2018-12-31T20:28:00Z</dcterms:created>
  <dcterms:modified xsi:type="dcterms:W3CDTF">2018-12-31T20:44:00Z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