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+62 896 9827 7267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Portfolio &amp; Career Graph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Full Stack Web3 &amp; AI Engineer with extensive experience building decentralized applications (dApps), Ethereum smart contracts (Solidity), and Telegram Mini Apps (TMA). Proven track record at Kipley Pte. Ltd. engineering high-concurrency Telegram AI agents with multi-chain crypto settlement (TON, USDT, Stars) and integrating Next.js 15 frontends with DeFi/NFT protocols via Wagmi and Ethers.js with zero-failure transaction reliability.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and orchestrated high-throughput </w:t>
      </w:r>
      <w:r>
        <w:rPr>
          <w:rFonts w:ascii="Calibri" w:hAnsi="Calibri"/>
          <w:b/>
          <w:color w:val="0F172A"/>
          <w:sz w:val="19"/>
        </w:rPr>
        <w:t>REST &amp; GraphQL APIs</w:t>
      </w:r>
      <w:r>
        <w:rPr>
          <w:rFonts w:ascii="Calibri" w:hAnsi="Calibri"/>
          <w:color w:val="1E293B"/>
          <w:sz w:val="19"/>
        </w:rPr>
        <w:t xml:space="preserve"> across 5+ flagship dApps, boosting frontend response speeds by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through optimized caching layers.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seamless </w:t>
      </w:r>
      <w:r>
        <w:rPr>
          <w:rFonts w:ascii="Calibri" w:hAnsi="Calibri"/>
          <w:b/>
          <w:color w:val="0F172A"/>
          <w:sz w:val="19"/>
        </w:rPr>
        <w:t>Ethereum Smart Contract (Solidity)</w:t>
      </w:r>
      <w:r>
        <w:rPr>
          <w:rFonts w:ascii="Calibri" w:hAnsi="Calibri"/>
          <w:color w:val="1E293B"/>
          <w:sz w:val="19"/>
        </w:rPr>
        <w:t xml:space="preserve"> integrations with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frontends via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and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for secure DeFi/NFT transactions.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an autonomous </w:t>
      </w:r>
      <w:r>
        <w:rPr>
          <w:rFonts w:ascii="Calibri" w:hAnsi="Calibri"/>
          <w:b/>
          <w:color w:val="0F172A"/>
          <w:sz w:val="19"/>
        </w:rPr>
        <w:t>Telegram AI Assistant</w:t>
      </w:r>
      <w:r>
        <w:rPr>
          <w:rFonts w:ascii="Calibri" w:hAnsi="Calibri"/>
          <w:color w:val="1E293B"/>
          <w:sz w:val="19"/>
        </w:rPr>
        <w:t xml:space="preserve"> supporting multi-chain settlement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and fiat on-ramp integrations with </w:t>
      </w:r>
      <w:r>
        <w:rPr>
          <w:rFonts w:ascii="Calibri" w:hAnsi="Calibri"/>
          <w:b/>
          <w:color w:val="0F172A"/>
          <w:sz w:val="19"/>
        </w:rPr>
        <w:t>100% zero-failure transaction reliability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Championed Agile sprint execution, collaborating cross-functionally with UI/UX and product teams to deliver feature releases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and deployed the </w:t>
      </w:r>
      <w:r>
        <w:rPr>
          <w:rFonts w:ascii="Calibri" w:hAnsi="Calibri"/>
          <w:b/>
          <w:color w:val="0F172A"/>
          <w:sz w:val="19"/>
        </w:rPr>
        <w:t>NTMC Command Center Dashboard Utama</w:t>
      </w:r>
      <w:r>
        <w:rPr>
          <w:rFonts w:ascii="Calibri" w:hAnsi="Calibri"/>
          <w:color w:val="1E293B"/>
          <w:sz w:val="19"/>
        </w:rPr>
        <w:t xml:space="preserve">, an operational traffic &amp; incident monitoring platform utilizing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real-time bidirectional streaming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achieving </w:t>
      </w:r>
      <w:r>
        <w:rPr>
          <w:rFonts w:ascii="Calibri" w:hAnsi="Calibri"/>
          <w:b/>
          <w:color w:val="0F172A"/>
          <w:sz w:val="19"/>
        </w:rPr>
        <w:t>&lt; 500ms incident broadcast latency</w:t>
      </w:r>
      <w:r>
        <w:rPr>
          <w:rFonts w:ascii="Calibri" w:hAnsi="Calibri"/>
          <w:color w:val="1E293B"/>
          <w:sz w:val="19"/>
        </w:rPr>
        <w:t xml:space="preserve"> and instant multi-screen telemetry synchronization.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high-performance server-side data tables with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and server-state caching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>, supporting complex multi-field filtering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Designed 100% type-safe form workflows using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with strict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 schema validation and interactive visualization charts via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Delivered robust enterprise backends, virtual exhibition platforms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tax e-Bupot systems, and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insurance claim portals leveraging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scalable web backends for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national civil servant credit scoring, automotive e-commerce, and CRM platforms using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secure payment gateway integrations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and Google APIs, guaranteeing </w:t>
      </w:r>
      <w:r>
        <w:rPr>
          <w:rFonts w:ascii="Calibri" w:hAnsi="Calibri"/>
          <w:b/>
          <w:color w:val="0F172A"/>
          <w:sz w:val="19"/>
        </w:rPr>
        <w:t>99.9% billing transaction accuracy</w:t>
      </w:r>
      <w:r>
        <w:rPr>
          <w:rFonts w:ascii="Calibri" w:hAnsi="Calibri"/>
          <w:color w:val="1E293B"/>
          <w:sz w:val="19"/>
        </w:rPr>
        <w:t xml:space="preserve"> and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companion native Android applications utilizing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for real-time data synchronization.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Configured CI/CD deployment pipelines on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>, ensuring high availability and zero-downtime production rollouts.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development for a flagship EdTech platform serving </w:t>
      </w:r>
      <w:r>
        <w:rPr>
          <w:rFonts w:ascii="Calibri" w:hAnsi="Calibri"/>
          <w:b/>
          <w:color w:val="0F172A"/>
          <w:sz w:val="19"/>
        </w:rPr>
        <w:t>1,500,000+ active users</w:t>
      </w:r>
      <w:r>
        <w:rPr>
          <w:rFonts w:ascii="Calibri" w:hAnsi="Calibri"/>
          <w:color w:val="1E293B"/>
          <w:sz w:val="19"/>
        </w:rPr>
        <w:t xml:space="preserve"> with a </w:t>
      </w:r>
      <w:r>
        <w:rPr>
          <w:rFonts w:ascii="Calibri" w:hAnsi="Calibri"/>
          <w:b/>
          <w:color w:val="0F172A"/>
          <w:sz w:val="19"/>
        </w:rPr>
        <w:t>4.42/5.00 Google Play Store rating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refactor using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shrinking application size by </w:t>
      </w:r>
      <w:r>
        <w:rPr>
          <w:rFonts w:ascii="Calibri" w:hAnsi="Calibri"/>
          <w:b/>
          <w:color w:val="0F172A"/>
          <w:sz w:val="19"/>
        </w:rPr>
        <w:t>38.6%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69.5 MB to 42.7 MB</w:t>
      </w:r>
      <w:r>
        <w:rPr>
          <w:rFonts w:ascii="Calibri" w:hAnsi="Calibri"/>
          <w:color w:val="1E293B"/>
          <w:sz w:val="19"/>
        </w:rPr>
        <w:t>) and boosting runtime rendering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Optimized core background sync and memory allocation to sustain a </w:t>
      </w:r>
      <w:r>
        <w:rPr>
          <w:rFonts w:ascii="Calibri" w:hAnsi="Calibri"/>
          <w:b/>
          <w:color w:val="0F172A"/>
          <w:sz w:val="19"/>
        </w:rPr>
        <w:t>99.42%+ crash-free session rate</w:t>
      </w:r>
      <w:r>
        <w:rPr>
          <w:rFonts w:ascii="Calibri" w:hAnsi="Calibri"/>
          <w:color w:val="1E293B"/>
          <w:sz w:val="19"/>
        </w:rPr>
        <w:t xml:space="preserve"> across continuous 90-day production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Maintained enterprise </w:t>
      </w:r>
      <w:r>
        <w:rPr>
          <w:rFonts w:ascii="Calibri" w:hAnsi="Calibri"/>
          <w:b/>
          <w:color w:val="0F172A"/>
          <w:sz w:val="19"/>
        </w:rPr>
        <w:t>Liferay OSGi web portal modules</w:t>
      </w:r>
      <w:r>
        <w:rPr>
          <w:rFonts w:ascii="Calibri" w:hAnsi="Calibri"/>
          <w:color w:val="1E293B"/>
          <w:sz w:val="19"/>
        </w:rPr>
        <w:t xml:space="preserve"> (100+ micro-modules), integrating national </w:t>
      </w:r>
      <w:r>
        <w:rPr>
          <w:rFonts w:ascii="Calibri" w:hAnsi="Calibri"/>
          <w:b/>
          <w:color w:val="0F172A"/>
          <w:sz w:val="19"/>
        </w:rPr>
        <w:t>RIASEC psychometric testing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WebRTC live video counseling</w:t>
      </w:r>
      <w:r>
        <w:rPr>
          <w:rFonts w:ascii="Calibri" w:hAnsi="Calibri"/>
          <w:color w:val="1E293B"/>
          <w:sz w:val="19"/>
        </w:rPr>
        <w:t>, and automated payment gateways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Blockchain &amp; Smart Contracts: </w:t>
      </w:r>
      <w:r>
        <w:rPr>
          <w:rFonts w:ascii="Calibri" w:hAnsi="Calibri"/>
          <w:color w:val="1E293B"/>
          <w:sz w:val="19"/>
        </w:rPr>
        <w:t>Solidity, Ethereum, EVM, TON Blockchain (FunC/Tact, TON SDK), Smart Contract Integration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Web3 Frontend &amp; SDKs: </w:t>
      </w:r>
      <w:r>
        <w:rPr>
          <w:rFonts w:ascii="Calibri" w:hAnsi="Calibri"/>
          <w:color w:val="1E293B"/>
          <w:sz w:val="19"/>
        </w:rPr>
        <w:t>Ethers.js, Wagmi, Viem, Web3Modal, TON Connect, Telegram WebApp SDK, Telegram Bot API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Full Stack Tech: </w:t>
      </w:r>
      <w:r>
        <w:rPr>
          <w:rFonts w:ascii="Calibri" w:hAnsi="Calibri"/>
          <w:color w:val="1E293B"/>
          <w:sz w:val="19"/>
        </w:rPr>
        <w:t>Next.js, React.js, TypeScript, Node.js, Tailwind CSS, PostgreSQL, Prisma ORM, REST/GraphQL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Payments &amp; DeFi: </w:t>
      </w:r>
      <w:r>
        <w:rPr>
          <w:rFonts w:ascii="Calibri" w:hAnsi="Calibri"/>
          <w:color w:val="1E293B"/>
          <w:sz w:val="19"/>
        </w:rPr>
        <w:t>Multichain Payments (TON, USDT, Telegram Stars), DeFi Interaction, NFT Minting &amp; Gateways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Android Jetpack Pro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Android Architecture Components, LiveData, ViewModel, Room Library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9698277267" TargetMode="External"/><Relationship Id="rId11" Type="http://schemas.openxmlformats.org/officeDocument/2006/relationships/hyperlink" Target="https://www.linkedin.com/in/m-hendri-febriansyah" TargetMode="External"/><Relationship Id="rId12" Type="http://schemas.openxmlformats.org/officeDocument/2006/relationships/hyperlink" Target="https://github.com/MHendriF" TargetMode="External"/><Relationship Id="rId13" Type="http://schemas.openxmlformats.org/officeDocument/2006/relationships/hyperlink" Target="https://portfolio-mhf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