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8EE" w:rsidRPr="00DD440B" w:rsidRDefault="00C718EE" w:rsidP="00C718EE">
      <w:pPr>
        <w:jc w:val="center"/>
        <w:rPr>
          <w:b/>
          <w:sz w:val="52"/>
          <w:szCs w:val="52"/>
        </w:rPr>
      </w:pPr>
      <w:r w:rsidRPr="00DD440B">
        <w:rPr>
          <w:b/>
          <w:sz w:val="52"/>
          <w:szCs w:val="52"/>
        </w:rPr>
        <w:t>United States Department of Agriculture</w:t>
      </w:r>
    </w:p>
    <w:p w:rsidR="00C718EE" w:rsidRDefault="00C718EE" w:rsidP="00C718EE">
      <w:pPr>
        <w:jc w:val="center"/>
        <w:rPr>
          <w:sz w:val="32"/>
          <w:szCs w:val="32"/>
        </w:rPr>
      </w:pPr>
    </w:p>
    <w:p w:rsidR="00C718EE" w:rsidRDefault="00C718EE" w:rsidP="00C718EE">
      <w:pPr>
        <w:jc w:val="center"/>
        <w:rPr>
          <w:sz w:val="40"/>
          <w:szCs w:val="40"/>
        </w:rPr>
      </w:pPr>
      <w:r>
        <w:rPr>
          <w:sz w:val="40"/>
          <w:szCs w:val="40"/>
        </w:rPr>
        <w:t>Food and Nutrition Service</w:t>
      </w:r>
    </w:p>
    <w:p w:rsidR="00C718EE" w:rsidRDefault="00C718EE" w:rsidP="00C718EE">
      <w:pPr>
        <w:jc w:val="center"/>
        <w:rPr>
          <w:sz w:val="40"/>
          <w:szCs w:val="40"/>
        </w:rPr>
      </w:pPr>
      <w:r w:rsidRPr="00817EBC">
        <w:rPr>
          <w:noProof/>
          <w:sz w:val="40"/>
          <w:szCs w:val="40"/>
        </w:rPr>
        <w:drawing>
          <wp:inline distT="0" distB="0" distL="0" distR="0">
            <wp:extent cx="1876425" cy="1485900"/>
            <wp:effectExtent l="19050" t="0" r="9525" b="0"/>
            <wp:docPr id="14"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C718EE" w:rsidRDefault="00C718EE" w:rsidP="00C718EE">
      <w:pPr>
        <w:pStyle w:val="NoSpacing"/>
        <w:jc w:val="center"/>
      </w:pPr>
    </w:p>
    <w:p w:rsidR="00C718EE" w:rsidRPr="007E0534" w:rsidRDefault="00C718EE" w:rsidP="00C718EE">
      <w:pPr>
        <w:jc w:val="center"/>
        <w:rPr>
          <w:b/>
          <w:sz w:val="36"/>
          <w:szCs w:val="36"/>
        </w:rPr>
      </w:pPr>
      <w:r w:rsidRPr="007E0534">
        <w:rPr>
          <w:b/>
          <w:sz w:val="36"/>
          <w:szCs w:val="36"/>
        </w:rPr>
        <w:t>Office of Information Technology</w:t>
      </w:r>
    </w:p>
    <w:p w:rsidR="00C718EE" w:rsidRPr="007E0534" w:rsidRDefault="00C718EE" w:rsidP="00C718EE">
      <w:pPr>
        <w:jc w:val="center"/>
        <w:rPr>
          <w:b/>
          <w:sz w:val="36"/>
          <w:szCs w:val="36"/>
        </w:rPr>
      </w:pPr>
      <w:r w:rsidRPr="007E0534">
        <w:rPr>
          <w:b/>
          <w:sz w:val="36"/>
          <w:szCs w:val="36"/>
        </w:rPr>
        <w:t>Portfolio Management Division (PMD)</w:t>
      </w:r>
    </w:p>
    <w:p w:rsidR="00C718EE" w:rsidRDefault="00C718EE" w:rsidP="00C718EE">
      <w:pPr>
        <w:pStyle w:val="NoSpacing"/>
        <w:jc w:val="center"/>
        <w:rPr>
          <w:b/>
          <w:sz w:val="36"/>
          <w:szCs w:val="36"/>
        </w:rPr>
      </w:pPr>
    </w:p>
    <w:p w:rsidR="00C718EE" w:rsidRDefault="00C718EE" w:rsidP="00C718EE">
      <w:pPr>
        <w:pStyle w:val="NoSpacing"/>
        <w:jc w:val="center"/>
        <w:rPr>
          <w:b/>
          <w:sz w:val="36"/>
          <w:szCs w:val="36"/>
        </w:rPr>
      </w:pPr>
    </w:p>
    <w:p w:rsidR="00C718EE" w:rsidRDefault="002564BA" w:rsidP="00C718EE">
      <w:pPr>
        <w:pStyle w:val="NoSpacing"/>
        <w:jc w:val="center"/>
        <w:rPr>
          <w:b/>
          <w:sz w:val="36"/>
          <w:szCs w:val="36"/>
        </w:rPr>
      </w:pPr>
      <w:r>
        <w:rPr>
          <w:b/>
          <w:sz w:val="36"/>
          <w:szCs w:val="36"/>
        </w:rPr>
        <w:t>FNS Alternative Analysis</w:t>
      </w:r>
      <w:r w:rsidR="00C718EE">
        <w:rPr>
          <w:b/>
          <w:sz w:val="36"/>
          <w:szCs w:val="36"/>
        </w:rPr>
        <w:t xml:space="preserve"> Template</w:t>
      </w:r>
    </w:p>
    <w:p w:rsidR="00C718EE" w:rsidRDefault="00277EDF" w:rsidP="00C718EE">
      <w:pPr>
        <w:pStyle w:val="NoSpacing"/>
        <w:jc w:val="center"/>
        <w:rPr>
          <w:b/>
          <w:sz w:val="36"/>
          <w:szCs w:val="36"/>
        </w:rPr>
      </w:pPr>
      <w:proofErr w:type="gramStart"/>
      <w:r>
        <w:rPr>
          <w:b/>
          <w:sz w:val="36"/>
          <w:szCs w:val="36"/>
        </w:rPr>
        <w:t>f</w:t>
      </w:r>
      <w:r w:rsidR="00C718EE">
        <w:rPr>
          <w:b/>
          <w:sz w:val="36"/>
          <w:szCs w:val="36"/>
        </w:rPr>
        <w:t>or</w:t>
      </w:r>
      <w:proofErr w:type="gramEnd"/>
    </w:p>
    <w:p w:rsidR="00C718EE" w:rsidRPr="00796552" w:rsidRDefault="00C718EE" w:rsidP="00C718EE">
      <w:pPr>
        <w:pStyle w:val="NoSpacing"/>
        <w:jc w:val="center"/>
        <w:rPr>
          <w:b/>
          <w:sz w:val="36"/>
          <w:szCs w:val="36"/>
        </w:rPr>
      </w:pPr>
      <w:r w:rsidRPr="00796552">
        <w:rPr>
          <w:b/>
          <w:sz w:val="36"/>
          <w:szCs w:val="36"/>
        </w:rPr>
        <w:t>[System or Project Name]</w:t>
      </w:r>
    </w:p>
    <w:p w:rsidR="00C718EE" w:rsidRDefault="00C718EE" w:rsidP="00796552">
      <w:pPr>
        <w:pStyle w:val="NoSpacing"/>
        <w:rPr>
          <w:b/>
          <w:sz w:val="36"/>
          <w:szCs w:val="36"/>
        </w:rPr>
      </w:pPr>
    </w:p>
    <w:p w:rsidR="00C718EE" w:rsidRDefault="00945C26" w:rsidP="00C718EE">
      <w:pPr>
        <w:pStyle w:val="NoSpacing"/>
        <w:jc w:val="center"/>
        <w:rPr>
          <w:b/>
          <w:sz w:val="36"/>
          <w:szCs w:val="36"/>
        </w:rPr>
      </w:pPr>
      <w:r>
        <w:rPr>
          <w:b/>
          <w:sz w:val="36"/>
          <w:szCs w:val="36"/>
        </w:rPr>
        <w:t>Version 1.1</w:t>
      </w:r>
    </w:p>
    <w:p w:rsidR="00796552" w:rsidRDefault="00796552" w:rsidP="00C718EE">
      <w:pPr>
        <w:pStyle w:val="NoSpacing"/>
        <w:jc w:val="center"/>
        <w:rPr>
          <w:b/>
          <w:sz w:val="36"/>
          <w:szCs w:val="36"/>
        </w:rPr>
      </w:pPr>
    </w:p>
    <w:p w:rsidR="00C718EE" w:rsidRPr="000852BD" w:rsidRDefault="00945C26" w:rsidP="00C718EE">
      <w:pPr>
        <w:pStyle w:val="NoSpacing"/>
        <w:jc w:val="center"/>
        <w:rPr>
          <w:rFonts w:ascii="Arial" w:hAnsi="Arial" w:cs="Arial"/>
          <w:b/>
          <w:sz w:val="24"/>
          <w:szCs w:val="24"/>
        </w:rPr>
        <w:sectPr w:rsidR="00C718EE" w:rsidRPr="000852BD" w:rsidSect="00277EDF">
          <w:headerReference w:type="first" r:id="rId13"/>
          <w:footerReference w:type="firs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docGrid w:linePitch="360"/>
        </w:sectPr>
      </w:pPr>
      <w:r w:rsidRPr="000852BD">
        <w:rPr>
          <w:rFonts w:ascii="Arial" w:hAnsi="Arial" w:cs="Arial"/>
          <w:sz w:val="24"/>
          <w:szCs w:val="24"/>
        </w:rPr>
        <w:t>September 09</w:t>
      </w:r>
      <w:r w:rsidR="00C718EE" w:rsidRPr="000852BD">
        <w:rPr>
          <w:rFonts w:ascii="Arial" w:hAnsi="Arial" w:cs="Arial"/>
          <w:sz w:val="24"/>
          <w:szCs w:val="24"/>
        </w:rPr>
        <w:t>, 2013</w:t>
      </w:r>
    </w:p>
    <w:p w:rsidR="00C718EE" w:rsidRPr="007D0A16" w:rsidRDefault="00C718EE" w:rsidP="00C718EE">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969"/>
        <w:gridCol w:w="3438"/>
      </w:tblGrid>
      <w:tr w:rsidR="00C718EE" w:rsidRPr="00C551E7" w:rsidTr="001870A2">
        <w:tc>
          <w:tcPr>
            <w:tcW w:w="671" w:type="pct"/>
            <w:shd w:val="clear" w:color="auto" w:fill="014873"/>
          </w:tcPr>
          <w:p w:rsidR="00C718EE" w:rsidRPr="00AA3A51" w:rsidRDefault="00C718EE" w:rsidP="001870A2">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C718EE" w:rsidRPr="00AA3A51" w:rsidRDefault="00C718EE" w:rsidP="001870A2">
            <w:pPr>
              <w:spacing w:after="0" w:line="240" w:lineRule="auto"/>
              <w:jc w:val="center"/>
              <w:rPr>
                <w:b/>
                <w:color w:val="FFFFFF" w:themeColor="background1"/>
              </w:rPr>
            </w:pPr>
            <w:r w:rsidRPr="00AA3A51">
              <w:rPr>
                <w:b/>
                <w:color w:val="FFFFFF" w:themeColor="background1"/>
              </w:rPr>
              <w:t>Date</w:t>
            </w:r>
          </w:p>
        </w:tc>
        <w:tc>
          <w:tcPr>
            <w:tcW w:w="1550" w:type="pct"/>
            <w:shd w:val="clear" w:color="auto" w:fill="014873"/>
          </w:tcPr>
          <w:p w:rsidR="00C718EE" w:rsidRPr="00AA3A51" w:rsidRDefault="00C718EE" w:rsidP="001870A2">
            <w:pPr>
              <w:spacing w:after="0" w:line="240" w:lineRule="auto"/>
              <w:jc w:val="center"/>
              <w:rPr>
                <w:b/>
                <w:color w:val="FFFFFF" w:themeColor="background1"/>
              </w:rPr>
            </w:pPr>
            <w:r w:rsidRPr="00AA3A51">
              <w:rPr>
                <w:b/>
                <w:color w:val="FFFFFF" w:themeColor="background1"/>
              </w:rPr>
              <w:t>Author</w:t>
            </w:r>
          </w:p>
        </w:tc>
        <w:tc>
          <w:tcPr>
            <w:tcW w:w="1795" w:type="pct"/>
            <w:shd w:val="clear" w:color="auto" w:fill="014873"/>
          </w:tcPr>
          <w:p w:rsidR="00C718EE" w:rsidRPr="00AA3A51" w:rsidRDefault="00C718EE" w:rsidP="001870A2">
            <w:pPr>
              <w:spacing w:after="0" w:line="240" w:lineRule="auto"/>
              <w:jc w:val="center"/>
              <w:rPr>
                <w:b/>
                <w:color w:val="FFFFFF" w:themeColor="background1"/>
              </w:rPr>
            </w:pPr>
            <w:r w:rsidRPr="00AA3A51">
              <w:rPr>
                <w:b/>
                <w:color w:val="FFFFFF" w:themeColor="background1"/>
              </w:rPr>
              <w:t>Change Description</w:t>
            </w:r>
          </w:p>
        </w:tc>
      </w:tr>
      <w:tr w:rsidR="00C718EE" w:rsidRPr="00C551E7" w:rsidTr="001870A2">
        <w:tc>
          <w:tcPr>
            <w:tcW w:w="671" w:type="pct"/>
          </w:tcPr>
          <w:p w:rsidR="00C718EE" w:rsidRPr="00A946D6" w:rsidRDefault="00C718EE" w:rsidP="001870A2">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C718EE" w:rsidRPr="00A946D6" w:rsidRDefault="00506FF8" w:rsidP="001870A2">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w:t>
            </w:r>
            <w:r w:rsidR="00C718EE">
              <w:rPr>
                <w:rFonts w:ascii="Arial Narrow" w:eastAsiaTheme="minorHAnsi" w:hAnsi="Arial Narrow" w:cstheme="minorBidi"/>
                <w:b w:val="0"/>
                <w:sz w:val="24"/>
                <w:szCs w:val="24"/>
              </w:rPr>
              <w:t>-2013</w:t>
            </w:r>
          </w:p>
        </w:tc>
        <w:tc>
          <w:tcPr>
            <w:tcW w:w="1550"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945C26">
              <w:rPr>
                <w:rFonts w:ascii="Arial Narrow" w:eastAsiaTheme="minorHAnsi" w:hAnsi="Arial Narrow" w:cstheme="minorBidi"/>
                <w:b w:val="0"/>
                <w:sz w:val="24"/>
                <w:szCs w:val="24"/>
              </w:rPr>
              <w:t>.</w:t>
            </w:r>
          </w:p>
        </w:tc>
      </w:tr>
      <w:tr w:rsidR="00C718EE" w:rsidRPr="00C551E7" w:rsidTr="001870A2">
        <w:tc>
          <w:tcPr>
            <w:tcW w:w="671" w:type="pct"/>
          </w:tcPr>
          <w:p w:rsidR="00C718EE" w:rsidRPr="00A946D6" w:rsidRDefault="00C718EE" w:rsidP="001870A2">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1.1</w:t>
            </w:r>
          </w:p>
        </w:tc>
        <w:tc>
          <w:tcPr>
            <w:tcW w:w="984" w:type="pct"/>
          </w:tcPr>
          <w:p w:rsidR="00C718EE" w:rsidRPr="00A946D6" w:rsidRDefault="00945C26" w:rsidP="001870A2">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50" w:type="pct"/>
          </w:tcPr>
          <w:p w:rsidR="00C718EE" w:rsidRPr="00A946D6" w:rsidRDefault="00945C26" w:rsidP="001870A2">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C718EE" w:rsidRPr="00A946D6" w:rsidRDefault="00945C26" w:rsidP="001870A2">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C718EE" w:rsidRPr="00C551E7" w:rsidTr="001870A2">
        <w:tc>
          <w:tcPr>
            <w:tcW w:w="671" w:type="pct"/>
          </w:tcPr>
          <w:p w:rsidR="00C718EE" w:rsidRPr="00A946D6" w:rsidRDefault="00C718EE" w:rsidP="001870A2">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1.2</w:t>
            </w:r>
          </w:p>
        </w:tc>
        <w:tc>
          <w:tcPr>
            <w:tcW w:w="984" w:type="pct"/>
          </w:tcPr>
          <w:p w:rsidR="00C718EE" w:rsidRPr="00A946D6" w:rsidRDefault="00C718EE" w:rsidP="001870A2">
            <w:pPr>
              <w:pStyle w:val="CellHead"/>
              <w:spacing w:before="120" w:after="60"/>
              <w:jc w:val="center"/>
              <w:rPr>
                <w:rFonts w:ascii="Arial Narrow" w:eastAsiaTheme="minorHAnsi" w:hAnsi="Arial Narrow" w:cstheme="minorBidi"/>
                <w:b w:val="0"/>
                <w:sz w:val="24"/>
                <w:szCs w:val="24"/>
              </w:rPr>
            </w:pPr>
          </w:p>
        </w:tc>
        <w:tc>
          <w:tcPr>
            <w:tcW w:w="1550"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p>
        </w:tc>
        <w:tc>
          <w:tcPr>
            <w:tcW w:w="1795"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p>
        </w:tc>
      </w:tr>
      <w:tr w:rsidR="00C718EE" w:rsidRPr="00C551E7" w:rsidTr="001870A2">
        <w:tc>
          <w:tcPr>
            <w:tcW w:w="671" w:type="pct"/>
          </w:tcPr>
          <w:p w:rsidR="00C718EE" w:rsidRPr="00A946D6" w:rsidRDefault="00C718EE" w:rsidP="001870A2">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1.3</w:t>
            </w:r>
          </w:p>
        </w:tc>
        <w:tc>
          <w:tcPr>
            <w:tcW w:w="984" w:type="pct"/>
          </w:tcPr>
          <w:p w:rsidR="00C718EE" w:rsidRPr="00A946D6" w:rsidRDefault="00C718EE" w:rsidP="001870A2">
            <w:pPr>
              <w:pStyle w:val="CellHead"/>
              <w:spacing w:before="120" w:after="60"/>
              <w:jc w:val="center"/>
              <w:rPr>
                <w:rFonts w:ascii="Arial Narrow" w:eastAsiaTheme="minorHAnsi" w:hAnsi="Arial Narrow" w:cstheme="minorBidi"/>
                <w:b w:val="0"/>
                <w:sz w:val="24"/>
                <w:szCs w:val="24"/>
              </w:rPr>
            </w:pPr>
          </w:p>
        </w:tc>
        <w:tc>
          <w:tcPr>
            <w:tcW w:w="1550"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p>
        </w:tc>
        <w:tc>
          <w:tcPr>
            <w:tcW w:w="1795"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p>
        </w:tc>
      </w:tr>
    </w:tbl>
    <w:p w:rsidR="00C718EE" w:rsidRDefault="00C718EE" w:rsidP="00C718EE">
      <w:pPr>
        <w:rPr>
          <w:b/>
          <w:bCs/>
        </w:rPr>
      </w:pPr>
    </w:p>
    <w:p w:rsidR="00C718EE" w:rsidRPr="00C551E7" w:rsidRDefault="00C718EE" w:rsidP="00C718EE">
      <w:pPr>
        <w:rPr>
          <w:b/>
          <w:bCs/>
        </w:rPr>
      </w:pPr>
    </w:p>
    <w:p w:rsidR="00C718EE" w:rsidRPr="007D0A16" w:rsidRDefault="00C718EE" w:rsidP="00C718EE">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58"/>
        <w:gridCol w:w="3599"/>
      </w:tblGrid>
      <w:tr w:rsidR="00C718EE" w:rsidRPr="00C551E7" w:rsidTr="001870A2">
        <w:trPr>
          <w:trHeight w:hRule="exact" w:val="298"/>
        </w:trPr>
        <w:tc>
          <w:tcPr>
            <w:tcW w:w="3117" w:type="pct"/>
            <w:shd w:val="clear" w:color="auto" w:fill="014873"/>
          </w:tcPr>
          <w:p w:rsidR="00C718EE" w:rsidRPr="00AA3A51" w:rsidRDefault="00C718EE" w:rsidP="001870A2">
            <w:pPr>
              <w:spacing w:after="0" w:line="240" w:lineRule="auto"/>
              <w:jc w:val="center"/>
              <w:rPr>
                <w:b/>
                <w:color w:val="FFFFFF" w:themeColor="background1"/>
              </w:rPr>
            </w:pPr>
            <w:r w:rsidRPr="00AA3A51">
              <w:rPr>
                <w:b/>
                <w:color w:val="FFFFFF" w:themeColor="background1"/>
              </w:rPr>
              <w:t>Area of Concern</w:t>
            </w:r>
          </w:p>
        </w:tc>
        <w:tc>
          <w:tcPr>
            <w:tcW w:w="1883" w:type="pct"/>
            <w:shd w:val="clear" w:color="auto" w:fill="014873"/>
          </w:tcPr>
          <w:p w:rsidR="00C718EE" w:rsidRPr="00AA3A51" w:rsidRDefault="00C718EE" w:rsidP="001870A2">
            <w:pPr>
              <w:spacing w:after="0" w:line="240" w:lineRule="auto"/>
              <w:jc w:val="center"/>
              <w:rPr>
                <w:b/>
                <w:color w:val="FFFFFF" w:themeColor="background1"/>
              </w:rPr>
            </w:pPr>
            <w:r w:rsidRPr="00AA3A51">
              <w:rPr>
                <w:b/>
                <w:color w:val="FFFFFF" w:themeColor="background1"/>
              </w:rPr>
              <w:t>Contact Person</w:t>
            </w:r>
          </w:p>
        </w:tc>
      </w:tr>
      <w:tr w:rsidR="00C718EE" w:rsidRPr="00C551E7" w:rsidTr="001870A2">
        <w:trPr>
          <w:trHeight w:hRule="exact" w:val="432"/>
        </w:trPr>
        <w:tc>
          <w:tcPr>
            <w:tcW w:w="3117"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IT Governance Lead </w:t>
            </w:r>
          </w:p>
        </w:tc>
        <w:tc>
          <w:tcPr>
            <w:tcW w:w="1883"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Kevin Russ</w:t>
            </w:r>
          </w:p>
        </w:tc>
      </w:tr>
      <w:tr w:rsidR="00C718EE" w:rsidRPr="00C551E7" w:rsidTr="001870A2">
        <w:trPr>
          <w:trHeight w:hRule="exact" w:val="432"/>
        </w:trPr>
        <w:tc>
          <w:tcPr>
            <w:tcW w:w="3117"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SDLC Coordinator</w:t>
            </w:r>
          </w:p>
        </w:tc>
        <w:tc>
          <w:tcPr>
            <w:tcW w:w="1883"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Syed Jaffery</w:t>
            </w:r>
          </w:p>
        </w:tc>
      </w:tr>
      <w:tr w:rsidR="00C718EE" w:rsidRPr="00C551E7" w:rsidTr="001870A2">
        <w:trPr>
          <w:trHeight w:hRule="exact" w:val="432"/>
        </w:trPr>
        <w:tc>
          <w:tcPr>
            <w:tcW w:w="3117"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ITIRB Coordinator</w:t>
            </w:r>
          </w:p>
        </w:tc>
        <w:tc>
          <w:tcPr>
            <w:tcW w:w="1883"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Sunny Dilawari</w:t>
            </w:r>
          </w:p>
        </w:tc>
      </w:tr>
      <w:tr w:rsidR="00C718EE" w:rsidRPr="00C551E7" w:rsidTr="001870A2">
        <w:trPr>
          <w:trHeight w:hRule="exact" w:val="432"/>
        </w:trPr>
        <w:tc>
          <w:tcPr>
            <w:tcW w:w="3117"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883" w:type="pct"/>
          </w:tcPr>
          <w:p w:rsidR="00C718EE" w:rsidRPr="00E10491" w:rsidRDefault="00C718EE" w:rsidP="001870A2">
            <w:pPr>
              <w:pStyle w:val="CellHead"/>
              <w:spacing w:before="120" w:after="60"/>
              <w:jc w:val="left"/>
              <w:rPr>
                <w:rFonts w:ascii="MS Shell Dlg 2" w:hAnsi="MS Shell Dlg 2" w:cs="MS Shell Dlg 2"/>
                <w:b w:val="0"/>
                <w:color w:val="000000"/>
              </w:rPr>
            </w:pPr>
            <w:r w:rsidRPr="00E10491">
              <w:rPr>
                <w:rFonts w:ascii="Arial Narrow" w:eastAsiaTheme="minorHAnsi" w:hAnsi="Arial Narrow" w:cstheme="minorBidi"/>
                <w:b w:val="0"/>
                <w:sz w:val="24"/>
                <w:szCs w:val="24"/>
              </w:rPr>
              <w:t>Jacqueline</w:t>
            </w:r>
            <w:r w:rsidRPr="00A946D6">
              <w:rPr>
                <w:rFonts w:ascii="Arial Narrow" w:eastAsiaTheme="minorHAnsi" w:hAnsi="Arial Narrow" w:cstheme="minorBidi"/>
                <w:b w:val="0"/>
                <w:sz w:val="24"/>
                <w:szCs w:val="24"/>
              </w:rPr>
              <w:t xml:space="preserve"> Butler</w:t>
            </w:r>
          </w:p>
        </w:tc>
      </w:tr>
      <w:tr w:rsidR="00C718EE" w:rsidRPr="00C551E7" w:rsidTr="001870A2">
        <w:trPr>
          <w:trHeight w:hRule="exact" w:val="432"/>
        </w:trPr>
        <w:tc>
          <w:tcPr>
            <w:tcW w:w="3117"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Program </w:t>
            </w:r>
            <w:r w:rsidRPr="00A946D6">
              <w:rPr>
                <w:rFonts w:ascii="Arial Narrow" w:eastAsiaTheme="minorHAnsi" w:hAnsi="Arial Narrow" w:cstheme="minorBidi"/>
                <w:b w:val="0"/>
                <w:sz w:val="24"/>
                <w:szCs w:val="24"/>
              </w:rPr>
              <w:t>Management Branch</w:t>
            </w:r>
            <w:r>
              <w:rPr>
                <w:rFonts w:ascii="Arial Narrow" w:eastAsiaTheme="minorHAnsi" w:hAnsi="Arial Narrow" w:cstheme="minorBidi"/>
                <w:b w:val="0"/>
                <w:sz w:val="24"/>
                <w:szCs w:val="24"/>
              </w:rPr>
              <w:t xml:space="preserve"> Chief</w:t>
            </w:r>
          </w:p>
        </w:tc>
        <w:tc>
          <w:tcPr>
            <w:tcW w:w="1883" w:type="pct"/>
          </w:tcPr>
          <w:p w:rsidR="00C718EE" w:rsidRPr="00A946D6" w:rsidRDefault="00C718EE" w:rsidP="001870A2">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Allison </w:t>
            </w:r>
            <w:proofErr w:type="spellStart"/>
            <w:r w:rsidRPr="00A946D6">
              <w:rPr>
                <w:rFonts w:ascii="Arial Narrow" w:eastAsiaTheme="minorHAnsi" w:hAnsi="Arial Narrow" w:cstheme="minorBidi"/>
                <w:b w:val="0"/>
                <w:sz w:val="24"/>
                <w:szCs w:val="24"/>
              </w:rPr>
              <w:t>Willcox</w:t>
            </w:r>
            <w:proofErr w:type="spellEnd"/>
          </w:p>
        </w:tc>
      </w:tr>
    </w:tbl>
    <w:p w:rsidR="00C718EE" w:rsidRDefault="00C718EE" w:rsidP="00C718EE"/>
    <w:p w:rsidR="00C718EE" w:rsidRDefault="00C718EE" w:rsidP="00C718EE"/>
    <w:p w:rsidR="00C718EE" w:rsidRDefault="00C718EE" w:rsidP="00C718EE">
      <w:r>
        <w:br w:type="page"/>
      </w:r>
    </w:p>
    <w:p w:rsidR="008F722B" w:rsidRPr="004172F6" w:rsidRDefault="008F722B" w:rsidP="004172F6">
      <w:pPr>
        <w:rPr>
          <w:rFonts w:asciiTheme="majorHAnsi" w:eastAsiaTheme="majorEastAsia" w:hAnsiTheme="majorHAnsi" w:cstheme="majorBidi"/>
          <w:b/>
          <w:bCs/>
          <w:color w:val="365F91" w:themeColor="accent1" w:themeShade="BF"/>
          <w:sz w:val="28"/>
          <w:szCs w:val="28"/>
        </w:rPr>
      </w:pPr>
      <w:r w:rsidRPr="004172F6">
        <w:rPr>
          <w:rFonts w:asciiTheme="majorHAnsi" w:eastAsiaTheme="majorEastAsia" w:hAnsiTheme="majorHAnsi" w:cstheme="majorBidi"/>
          <w:b/>
          <w:bCs/>
          <w:color w:val="365F91" w:themeColor="accent1" w:themeShade="BF"/>
          <w:sz w:val="28"/>
          <w:szCs w:val="28"/>
        </w:rPr>
        <w:lastRenderedPageBreak/>
        <w:t>Contents</w:t>
      </w:r>
    </w:p>
    <w:p w:rsidR="00945C26" w:rsidRDefault="000300E4">
      <w:pPr>
        <w:pStyle w:val="TOC1"/>
        <w:tabs>
          <w:tab w:val="right" w:leader="dot" w:pos="9350"/>
        </w:tabs>
        <w:rPr>
          <w:rFonts w:eastAsiaTheme="minorEastAsia" w:cstheme="minorBidi"/>
          <w:b w:val="0"/>
          <w:bCs w:val="0"/>
          <w:caps w:val="0"/>
          <w:noProof/>
          <w:sz w:val="22"/>
          <w:szCs w:val="22"/>
        </w:rPr>
      </w:pPr>
      <w:r w:rsidRPr="000300E4">
        <w:rPr>
          <w:rFonts w:cs="Arial"/>
          <w:b w:val="0"/>
          <w:bCs w:val="0"/>
          <w:caps w:val="0"/>
          <w:noProof/>
          <w:szCs w:val="28"/>
        </w:rPr>
        <w:fldChar w:fldCharType="begin"/>
      </w:r>
      <w:r w:rsidR="00BF6AB1">
        <w:rPr>
          <w:rFonts w:cs="Arial"/>
          <w:b w:val="0"/>
          <w:bCs w:val="0"/>
          <w:caps w:val="0"/>
          <w:noProof/>
          <w:szCs w:val="28"/>
        </w:rPr>
        <w:instrText xml:space="preserve"> TOC \o "1-3" \h \z \u </w:instrText>
      </w:r>
      <w:r w:rsidRPr="000300E4">
        <w:rPr>
          <w:rFonts w:cs="Arial"/>
          <w:b w:val="0"/>
          <w:bCs w:val="0"/>
          <w:caps w:val="0"/>
          <w:noProof/>
          <w:szCs w:val="28"/>
        </w:rPr>
        <w:fldChar w:fldCharType="separate"/>
      </w:r>
      <w:hyperlink w:anchor="_Toc366488485" w:history="1">
        <w:r w:rsidR="00945C26" w:rsidRPr="00672CA4">
          <w:rPr>
            <w:rStyle w:val="Hyperlink"/>
            <w:noProof/>
          </w:rPr>
          <w:t>Glossary</w:t>
        </w:r>
        <w:r w:rsidR="00945C26">
          <w:rPr>
            <w:noProof/>
            <w:webHidden/>
          </w:rPr>
          <w:tab/>
        </w:r>
        <w:r>
          <w:rPr>
            <w:noProof/>
            <w:webHidden/>
          </w:rPr>
          <w:fldChar w:fldCharType="begin"/>
        </w:r>
        <w:r w:rsidR="00945C26">
          <w:rPr>
            <w:noProof/>
            <w:webHidden/>
          </w:rPr>
          <w:instrText xml:space="preserve"> PAGEREF _Toc366488485 \h </w:instrText>
        </w:r>
        <w:r>
          <w:rPr>
            <w:noProof/>
            <w:webHidden/>
          </w:rPr>
        </w:r>
        <w:r>
          <w:rPr>
            <w:noProof/>
            <w:webHidden/>
          </w:rPr>
          <w:fldChar w:fldCharType="separate"/>
        </w:r>
        <w:r w:rsidR="00945C26">
          <w:rPr>
            <w:noProof/>
            <w:webHidden/>
          </w:rPr>
          <w:t>4</w:t>
        </w:r>
        <w:r>
          <w:rPr>
            <w:noProof/>
            <w:webHidden/>
          </w:rPr>
          <w:fldChar w:fldCharType="end"/>
        </w:r>
      </w:hyperlink>
    </w:p>
    <w:p w:rsidR="00945C26" w:rsidRDefault="000300E4">
      <w:pPr>
        <w:pStyle w:val="TOC1"/>
        <w:tabs>
          <w:tab w:val="right" w:leader="dot" w:pos="9350"/>
        </w:tabs>
        <w:rPr>
          <w:rFonts w:eastAsiaTheme="minorEastAsia" w:cstheme="minorBidi"/>
          <w:b w:val="0"/>
          <w:bCs w:val="0"/>
          <w:caps w:val="0"/>
          <w:noProof/>
          <w:sz w:val="22"/>
          <w:szCs w:val="22"/>
        </w:rPr>
      </w:pPr>
      <w:hyperlink w:anchor="_Toc366488486" w:history="1">
        <w:r w:rsidR="00945C26" w:rsidRPr="00672CA4">
          <w:rPr>
            <w:rStyle w:val="Hyperlink"/>
            <w:noProof/>
          </w:rPr>
          <w:t>Notes to the Author</w:t>
        </w:r>
        <w:r w:rsidR="00945C26">
          <w:rPr>
            <w:noProof/>
            <w:webHidden/>
          </w:rPr>
          <w:tab/>
        </w:r>
        <w:r>
          <w:rPr>
            <w:noProof/>
            <w:webHidden/>
          </w:rPr>
          <w:fldChar w:fldCharType="begin"/>
        </w:r>
        <w:r w:rsidR="00945C26">
          <w:rPr>
            <w:noProof/>
            <w:webHidden/>
          </w:rPr>
          <w:instrText xml:space="preserve"> PAGEREF _Toc366488486 \h </w:instrText>
        </w:r>
        <w:r>
          <w:rPr>
            <w:noProof/>
            <w:webHidden/>
          </w:rPr>
        </w:r>
        <w:r>
          <w:rPr>
            <w:noProof/>
            <w:webHidden/>
          </w:rPr>
          <w:fldChar w:fldCharType="separate"/>
        </w:r>
        <w:r w:rsidR="00945C26">
          <w:rPr>
            <w:noProof/>
            <w:webHidden/>
          </w:rPr>
          <w:t>5</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87" w:history="1">
        <w:r w:rsidR="00945C26" w:rsidRPr="00672CA4">
          <w:rPr>
            <w:rStyle w:val="Hyperlink"/>
            <w:noProof/>
          </w:rPr>
          <w:t>1.</w:t>
        </w:r>
        <w:r w:rsidR="00945C26">
          <w:rPr>
            <w:rFonts w:eastAsiaTheme="minorEastAsia" w:cstheme="minorBidi"/>
            <w:b w:val="0"/>
            <w:bCs w:val="0"/>
            <w:caps w:val="0"/>
            <w:noProof/>
            <w:sz w:val="22"/>
            <w:szCs w:val="22"/>
          </w:rPr>
          <w:tab/>
        </w:r>
        <w:r w:rsidR="00945C26" w:rsidRPr="00672CA4">
          <w:rPr>
            <w:rStyle w:val="Hyperlink"/>
            <w:noProof/>
          </w:rPr>
          <w:t>Objectives</w:t>
        </w:r>
        <w:r w:rsidR="00945C26">
          <w:rPr>
            <w:noProof/>
            <w:webHidden/>
          </w:rPr>
          <w:tab/>
        </w:r>
        <w:r>
          <w:rPr>
            <w:noProof/>
            <w:webHidden/>
          </w:rPr>
          <w:fldChar w:fldCharType="begin"/>
        </w:r>
        <w:r w:rsidR="00945C26">
          <w:rPr>
            <w:noProof/>
            <w:webHidden/>
          </w:rPr>
          <w:instrText xml:space="preserve"> PAGEREF _Toc366488487 \h </w:instrText>
        </w:r>
        <w:r>
          <w:rPr>
            <w:noProof/>
            <w:webHidden/>
          </w:rPr>
        </w:r>
        <w:r>
          <w:rPr>
            <w:noProof/>
            <w:webHidden/>
          </w:rPr>
          <w:fldChar w:fldCharType="separate"/>
        </w:r>
        <w:r w:rsidR="00945C26">
          <w:rPr>
            <w:noProof/>
            <w:webHidden/>
          </w:rPr>
          <w:t>6</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88" w:history="1">
        <w:r w:rsidR="00945C26" w:rsidRPr="00672CA4">
          <w:rPr>
            <w:rStyle w:val="Hyperlink"/>
            <w:noProof/>
          </w:rPr>
          <w:t>2.</w:t>
        </w:r>
        <w:r w:rsidR="00945C26">
          <w:rPr>
            <w:rFonts w:eastAsiaTheme="minorEastAsia" w:cstheme="minorBidi"/>
            <w:b w:val="0"/>
            <w:bCs w:val="0"/>
            <w:caps w:val="0"/>
            <w:noProof/>
            <w:sz w:val="22"/>
            <w:szCs w:val="22"/>
          </w:rPr>
          <w:tab/>
        </w:r>
        <w:r w:rsidR="00945C26" w:rsidRPr="00672CA4">
          <w:rPr>
            <w:rStyle w:val="Hyperlink"/>
            <w:noProof/>
          </w:rPr>
          <w:t>Current Process</w:t>
        </w:r>
        <w:r w:rsidR="00945C26">
          <w:rPr>
            <w:noProof/>
            <w:webHidden/>
          </w:rPr>
          <w:tab/>
        </w:r>
        <w:r>
          <w:rPr>
            <w:noProof/>
            <w:webHidden/>
          </w:rPr>
          <w:fldChar w:fldCharType="begin"/>
        </w:r>
        <w:r w:rsidR="00945C26">
          <w:rPr>
            <w:noProof/>
            <w:webHidden/>
          </w:rPr>
          <w:instrText xml:space="preserve"> PAGEREF _Toc366488488 \h </w:instrText>
        </w:r>
        <w:r>
          <w:rPr>
            <w:noProof/>
            <w:webHidden/>
          </w:rPr>
        </w:r>
        <w:r>
          <w:rPr>
            <w:noProof/>
            <w:webHidden/>
          </w:rPr>
          <w:fldChar w:fldCharType="separate"/>
        </w:r>
        <w:r w:rsidR="00945C26">
          <w:rPr>
            <w:noProof/>
            <w:webHidden/>
          </w:rPr>
          <w:t>6</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89" w:history="1">
        <w:r w:rsidR="00945C26" w:rsidRPr="00672CA4">
          <w:rPr>
            <w:rStyle w:val="Hyperlink"/>
            <w:noProof/>
          </w:rPr>
          <w:t>3.</w:t>
        </w:r>
        <w:r w:rsidR="00945C26">
          <w:rPr>
            <w:rFonts w:eastAsiaTheme="minorEastAsia" w:cstheme="minorBidi"/>
            <w:b w:val="0"/>
            <w:bCs w:val="0"/>
            <w:caps w:val="0"/>
            <w:noProof/>
            <w:sz w:val="22"/>
            <w:szCs w:val="22"/>
          </w:rPr>
          <w:tab/>
        </w:r>
        <w:r w:rsidR="00945C26" w:rsidRPr="00672CA4">
          <w:rPr>
            <w:rStyle w:val="Hyperlink"/>
            <w:noProof/>
          </w:rPr>
          <w:t>Estimate Future Requirements</w:t>
        </w:r>
        <w:r w:rsidR="00945C26">
          <w:rPr>
            <w:noProof/>
            <w:webHidden/>
          </w:rPr>
          <w:tab/>
        </w:r>
        <w:r>
          <w:rPr>
            <w:noProof/>
            <w:webHidden/>
          </w:rPr>
          <w:fldChar w:fldCharType="begin"/>
        </w:r>
        <w:r w:rsidR="00945C26">
          <w:rPr>
            <w:noProof/>
            <w:webHidden/>
          </w:rPr>
          <w:instrText xml:space="preserve"> PAGEREF _Toc366488489 \h </w:instrText>
        </w:r>
        <w:r>
          <w:rPr>
            <w:noProof/>
            <w:webHidden/>
          </w:rPr>
        </w:r>
        <w:r>
          <w:rPr>
            <w:noProof/>
            <w:webHidden/>
          </w:rPr>
          <w:fldChar w:fldCharType="separate"/>
        </w:r>
        <w:r w:rsidR="00945C26">
          <w:rPr>
            <w:noProof/>
            <w:webHidden/>
          </w:rPr>
          <w:t>7</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0" w:history="1">
        <w:r w:rsidR="00945C26" w:rsidRPr="00672CA4">
          <w:rPr>
            <w:rStyle w:val="Hyperlink"/>
            <w:noProof/>
          </w:rPr>
          <w:t>4.</w:t>
        </w:r>
        <w:r w:rsidR="00945C26">
          <w:rPr>
            <w:rFonts w:eastAsiaTheme="minorEastAsia" w:cstheme="minorBidi"/>
            <w:b w:val="0"/>
            <w:bCs w:val="0"/>
            <w:caps w:val="0"/>
            <w:noProof/>
            <w:sz w:val="22"/>
            <w:szCs w:val="22"/>
          </w:rPr>
          <w:tab/>
        </w:r>
        <w:r w:rsidR="00945C26" w:rsidRPr="00672CA4">
          <w:rPr>
            <w:rStyle w:val="Hyperlink"/>
            <w:noProof/>
          </w:rPr>
          <w:t>Collect Cost Data</w:t>
        </w:r>
        <w:r w:rsidR="00945C26">
          <w:rPr>
            <w:noProof/>
            <w:webHidden/>
          </w:rPr>
          <w:tab/>
        </w:r>
        <w:r>
          <w:rPr>
            <w:noProof/>
            <w:webHidden/>
          </w:rPr>
          <w:fldChar w:fldCharType="begin"/>
        </w:r>
        <w:r w:rsidR="00945C26">
          <w:rPr>
            <w:noProof/>
            <w:webHidden/>
          </w:rPr>
          <w:instrText xml:space="preserve"> PAGEREF _Toc366488490 \h </w:instrText>
        </w:r>
        <w:r>
          <w:rPr>
            <w:noProof/>
            <w:webHidden/>
          </w:rPr>
        </w:r>
        <w:r>
          <w:rPr>
            <w:noProof/>
            <w:webHidden/>
          </w:rPr>
          <w:fldChar w:fldCharType="separate"/>
        </w:r>
        <w:r w:rsidR="00945C26">
          <w:rPr>
            <w:noProof/>
            <w:webHidden/>
          </w:rPr>
          <w:t>7</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1" w:history="1">
        <w:r w:rsidR="00945C26" w:rsidRPr="00672CA4">
          <w:rPr>
            <w:rStyle w:val="Hyperlink"/>
            <w:noProof/>
          </w:rPr>
          <w:t>5.</w:t>
        </w:r>
        <w:r w:rsidR="00945C26">
          <w:rPr>
            <w:rFonts w:eastAsiaTheme="minorEastAsia" w:cstheme="minorBidi"/>
            <w:b w:val="0"/>
            <w:bCs w:val="0"/>
            <w:caps w:val="0"/>
            <w:noProof/>
            <w:sz w:val="22"/>
            <w:szCs w:val="22"/>
          </w:rPr>
          <w:tab/>
        </w:r>
        <w:r w:rsidR="00945C26" w:rsidRPr="00672CA4">
          <w:rPr>
            <w:rStyle w:val="Hyperlink"/>
            <w:noProof/>
          </w:rPr>
          <w:t>Alternatives</w:t>
        </w:r>
        <w:r w:rsidR="00945C26">
          <w:rPr>
            <w:noProof/>
            <w:webHidden/>
          </w:rPr>
          <w:tab/>
        </w:r>
        <w:r>
          <w:rPr>
            <w:noProof/>
            <w:webHidden/>
          </w:rPr>
          <w:fldChar w:fldCharType="begin"/>
        </w:r>
        <w:r w:rsidR="00945C26">
          <w:rPr>
            <w:noProof/>
            <w:webHidden/>
          </w:rPr>
          <w:instrText xml:space="preserve"> PAGEREF _Toc366488491 \h </w:instrText>
        </w:r>
        <w:r>
          <w:rPr>
            <w:noProof/>
            <w:webHidden/>
          </w:rPr>
        </w:r>
        <w:r>
          <w:rPr>
            <w:noProof/>
            <w:webHidden/>
          </w:rPr>
          <w:fldChar w:fldCharType="separate"/>
        </w:r>
        <w:r w:rsidR="00945C26">
          <w:rPr>
            <w:noProof/>
            <w:webHidden/>
          </w:rPr>
          <w:t>8</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2" w:history="1">
        <w:r w:rsidR="00945C26" w:rsidRPr="00672CA4">
          <w:rPr>
            <w:rStyle w:val="Hyperlink"/>
            <w:noProof/>
          </w:rPr>
          <w:t>6.</w:t>
        </w:r>
        <w:r w:rsidR="00945C26">
          <w:rPr>
            <w:rFonts w:eastAsiaTheme="minorEastAsia" w:cstheme="minorBidi"/>
            <w:b w:val="0"/>
            <w:bCs w:val="0"/>
            <w:caps w:val="0"/>
            <w:noProof/>
            <w:sz w:val="22"/>
            <w:szCs w:val="22"/>
          </w:rPr>
          <w:tab/>
        </w:r>
        <w:r w:rsidR="00945C26" w:rsidRPr="00672CA4">
          <w:rPr>
            <w:rStyle w:val="Hyperlink"/>
            <w:noProof/>
          </w:rPr>
          <w:t>Document Alternatives and Cost Benefit Analysis Assumptions</w:t>
        </w:r>
        <w:r w:rsidR="00945C26">
          <w:rPr>
            <w:noProof/>
            <w:webHidden/>
          </w:rPr>
          <w:tab/>
        </w:r>
        <w:r>
          <w:rPr>
            <w:noProof/>
            <w:webHidden/>
          </w:rPr>
          <w:fldChar w:fldCharType="begin"/>
        </w:r>
        <w:r w:rsidR="00945C26">
          <w:rPr>
            <w:noProof/>
            <w:webHidden/>
          </w:rPr>
          <w:instrText xml:space="preserve"> PAGEREF _Toc366488492 \h </w:instrText>
        </w:r>
        <w:r>
          <w:rPr>
            <w:noProof/>
            <w:webHidden/>
          </w:rPr>
        </w:r>
        <w:r>
          <w:rPr>
            <w:noProof/>
            <w:webHidden/>
          </w:rPr>
          <w:fldChar w:fldCharType="separate"/>
        </w:r>
        <w:r w:rsidR="00945C26">
          <w:rPr>
            <w:noProof/>
            <w:webHidden/>
          </w:rPr>
          <w:t>8</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3" w:history="1">
        <w:r w:rsidR="00945C26" w:rsidRPr="00672CA4">
          <w:rPr>
            <w:rStyle w:val="Hyperlink"/>
            <w:noProof/>
          </w:rPr>
          <w:t>7.</w:t>
        </w:r>
        <w:r w:rsidR="00945C26">
          <w:rPr>
            <w:rFonts w:eastAsiaTheme="minorEastAsia" w:cstheme="minorBidi"/>
            <w:b w:val="0"/>
            <w:bCs w:val="0"/>
            <w:caps w:val="0"/>
            <w:noProof/>
            <w:sz w:val="22"/>
            <w:szCs w:val="22"/>
          </w:rPr>
          <w:tab/>
        </w:r>
        <w:r w:rsidR="00945C26" w:rsidRPr="00672CA4">
          <w:rPr>
            <w:rStyle w:val="Hyperlink"/>
            <w:noProof/>
          </w:rPr>
          <w:t>Estimate Costs</w:t>
        </w:r>
        <w:r w:rsidR="00945C26">
          <w:rPr>
            <w:noProof/>
            <w:webHidden/>
          </w:rPr>
          <w:tab/>
        </w:r>
        <w:r>
          <w:rPr>
            <w:noProof/>
            <w:webHidden/>
          </w:rPr>
          <w:fldChar w:fldCharType="begin"/>
        </w:r>
        <w:r w:rsidR="00945C26">
          <w:rPr>
            <w:noProof/>
            <w:webHidden/>
          </w:rPr>
          <w:instrText xml:space="preserve"> PAGEREF _Toc366488493 \h </w:instrText>
        </w:r>
        <w:r>
          <w:rPr>
            <w:noProof/>
            <w:webHidden/>
          </w:rPr>
        </w:r>
        <w:r>
          <w:rPr>
            <w:noProof/>
            <w:webHidden/>
          </w:rPr>
          <w:fldChar w:fldCharType="separate"/>
        </w:r>
        <w:r w:rsidR="00945C26">
          <w:rPr>
            <w:noProof/>
            <w:webHidden/>
          </w:rPr>
          <w:t>8</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4" w:history="1">
        <w:r w:rsidR="00945C26" w:rsidRPr="00672CA4">
          <w:rPr>
            <w:rStyle w:val="Hyperlink"/>
            <w:noProof/>
          </w:rPr>
          <w:t>8.</w:t>
        </w:r>
        <w:r w:rsidR="00945C26">
          <w:rPr>
            <w:rFonts w:eastAsiaTheme="minorEastAsia" w:cstheme="minorBidi"/>
            <w:b w:val="0"/>
            <w:bCs w:val="0"/>
            <w:caps w:val="0"/>
            <w:noProof/>
            <w:sz w:val="22"/>
            <w:szCs w:val="22"/>
          </w:rPr>
          <w:tab/>
        </w:r>
        <w:r w:rsidR="00945C26" w:rsidRPr="00672CA4">
          <w:rPr>
            <w:rStyle w:val="Hyperlink"/>
            <w:noProof/>
          </w:rPr>
          <w:t>Estimate Benefits</w:t>
        </w:r>
        <w:r w:rsidR="00945C26">
          <w:rPr>
            <w:noProof/>
            <w:webHidden/>
          </w:rPr>
          <w:tab/>
        </w:r>
        <w:r>
          <w:rPr>
            <w:noProof/>
            <w:webHidden/>
          </w:rPr>
          <w:fldChar w:fldCharType="begin"/>
        </w:r>
        <w:r w:rsidR="00945C26">
          <w:rPr>
            <w:noProof/>
            <w:webHidden/>
          </w:rPr>
          <w:instrText xml:space="preserve"> PAGEREF _Toc366488494 \h </w:instrText>
        </w:r>
        <w:r>
          <w:rPr>
            <w:noProof/>
            <w:webHidden/>
          </w:rPr>
        </w:r>
        <w:r>
          <w:rPr>
            <w:noProof/>
            <w:webHidden/>
          </w:rPr>
          <w:fldChar w:fldCharType="separate"/>
        </w:r>
        <w:r w:rsidR="00945C26">
          <w:rPr>
            <w:noProof/>
            <w:webHidden/>
          </w:rPr>
          <w:t>9</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5" w:history="1">
        <w:r w:rsidR="00945C26" w:rsidRPr="00672CA4">
          <w:rPr>
            <w:rStyle w:val="Hyperlink"/>
            <w:noProof/>
          </w:rPr>
          <w:t>9.</w:t>
        </w:r>
        <w:r w:rsidR="00945C26">
          <w:rPr>
            <w:rFonts w:eastAsiaTheme="minorEastAsia" w:cstheme="minorBidi"/>
            <w:b w:val="0"/>
            <w:bCs w:val="0"/>
            <w:caps w:val="0"/>
            <w:noProof/>
            <w:sz w:val="22"/>
            <w:szCs w:val="22"/>
          </w:rPr>
          <w:tab/>
        </w:r>
        <w:r w:rsidR="00945C26" w:rsidRPr="00672CA4">
          <w:rPr>
            <w:rStyle w:val="Hyperlink"/>
            <w:noProof/>
          </w:rPr>
          <w:t>Discount Costs and Benefits</w:t>
        </w:r>
        <w:r w:rsidR="00945C26">
          <w:rPr>
            <w:noProof/>
            <w:webHidden/>
          </w:rPr>
          <w:tab/>
        </w:r>
        <w:r>
          <w:rPr>
            <w:noProof/>
            <w:webHidden/>
          </w:rPr>
          <w:fldChar w:fldCharType="begin"/>
        </w:r>
        <w:r w:rsidR="00945C26">
          <w:rPr>
            <w:noProof/>
            <w:webHidden/>
          </w:rPr>
          <w:instrText xml:space="preserve"> PAGEREF _Toc366488495 \h </w:instrText>
        </w:r>
        <w:r>
          <w:rPr>
            <w:noProof/>
            <w:webHidden/>
          </w:rPr>
        </w:r>
        <w:r>
          <w:rPr>
            <w:noProof/>
            <w:webHidden/>
          </w:rPr>
          <w:fldChar w:fldCharType="separate"/>
        </w:r>
        <w:r w:rsidR="00945C26">
          <w:rPr>
            <w:noProof/>
            <w:webHidden/>
          </w:rPr>
          <w:t>11</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6" w:history="1">
        <w:r w:rsidR="00945C26" w:rsidRPr="00672CA4">
          <w:rPr>
            <w:rStyle w:val="Hyperlink"/>
            <w:noProof/>
          </w:rPr>
          <w:t>10.</w:t>
        </w:r>
        <w:r w:rsidR="00945C26">
          <w:rPr>
            <w:rFonts w:eastAsiaTheme="minorEastAsia" w:cstheme="minorBidi"/>
            <w:b w:val="0"/>
            <w:bCs w:val="0"/>
            <w:caps w:val="0"/>
            <w:noProof/>
            <w:sz w:val="22"/>
            <w:szCs w:val="22"/>
          </w:rPr>
          <w:tab/>
        </w:r>
        <w:r w:rsidR="00945C26" w:rsidRPr="00672CA4">
          <w:rPr>
            <w:rStyle w:val="Hyperlink"/>
            <w:noProof/>
          </w:rPr>
          <w:t>Evaluate Alternatives</w:t>
        </w:r>
        <w:r w:rsidR="00945C26">
          <w:rPr>
            <w:noProof/>
            <w:webHidden/>
          </w:rPr>
          <w:tab/>
        </w:r>
        <w:r>
          <w:rPr>
            <w:noProof/>
            <w:webHidden/>
          </w:rPr>
          <w:fldChar w:fldCharType="begin"/>
        </w:r>
        <w:r w:rsidR="00945C26">
          <w:rPr>
            <w:noProof/>
            <w:webHidden/>
          </w:rPr>
          <w:instrText xml:space="preserve"> PAGEREF _Toc366488496 \h </w:instrText>
        </w:r>
        <w:r>
          <w:rPr>
            <w:noProof/>
            <w:webHidden/>
          </w:rPr>
        </w:r>
        <w:r>
          <w:rPr>
            <w:noProof/>
            <w:webHidden/>
          </w:rPr>
          <w:fldChar w:fldCharType="separate"/>
        </w:r>
        <w:r w:rsidR="00945C26">
          <w:rPr>
            <w:noProof/>
            <w:webHidden/>
          </w:rPr>
          <w:t>12</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7" w:history="1">
        <w:r w:rsidR="00945C26" w:rsidRPr="00672CA4">
          <w:rPr>
            <w:rStyle w:val="Hyperlink"/>
            <w:noProof/>
          </w:rPr>
          <w:t>11.</w:t>
        </w:r>
        <w:r w:rsidR="00945C26">
          <w:rPr>
            <w:rFonts w:eastAsiaTheme="minorEastAsia" w:cstheme="minorBidi"/>
            <w:b w:val="0"/>
            <w:bCs w:val="0"/>
            <w:caps w:val="0"/>
            <w:noProof/>
            <w:sz w:val="22"/>
            <w:szCs w:val="22"/>
          </w:rPr>
          <w:tab/>
        </w:r>
        <w:r w:rsidR="00945C26" w:rsidRPr="00672CA4">
          <w:rPr>
            <w:rStyle w:val="Hyperlink"/>
            <w:noProof/>
          </w:rPr>
          <w:t>Perform Sensitivity Analysis</w:t>
        </w:r>
        <w:r w:rsidR="00945C26">
          <w:rPr>
            <w:noProof/>
            <w:webHidden/>
          </w:rPr>
          <w:tab/>
        </w:r>
        <w:r>
          <w:rPr>
            <w:noProof/>
            <w:webHidden/>
          </w:rPr>
          <w:fldChar w:fldCharType="begin"/>
        </w:r>
        <w:r w:rsidR="00945C26">
          <w:rPr>
            <w:noProof/>
            <w:webHidden/>
          </w:rPr>
          <w:instrText xml:space="preserve"> PAGEREF _Toc366488497 \h </w:instrText>
        </w:r>
        <w:r>
          <w:rPr>
            <w:noProof/>
            <w:webHidden/>
          </w:rPr>
        </w:r>
        <w:r>
          <w:rPr>
            <w:noProof/>
            <w:webHidden/>
          </w:rPr>
          <w:fldChar w:fldCharType="separate"/>
        </w:r>
        <w:r w:rsidR="00945C26">
          <w:rPr>
            <w:noProof/>
            <w:webHidden/>
          </w:rPr>
          <w:t>13</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8" w:history="1">
        <w:r w:rsidR="00945C26" w:rsidRPr="00672CA4">
          <w:rPr>
            <w:rStyle w:val="Hyperlink"/>
            <w:noProof/>
          </w:rPr>
          <w:t>12.</w:t>
        </w:r>
        <w:r w:rsidR="00945C26">
          <w:rPr>
            <w:rFonts w:eastAsiaTheme="minorEastAsia" w:cstheme="minorBidi"/>
            <w:b w:val="0"/>
            <w:bCs w:val="0"/>
            <w:caps w:val="0"/>
            <w:noProof/>
            <w:sz w:val="22"/>
            <w:szCs w:val="22"/>
          </w:rPr>
          <w:tab/>
        </w:r>
        <w:r w:rsidR="00945C26" w:rsidRPr="00672CA4">
          <w:rPr>
            <w:rStyle w:val="Hyperlink"/>
            <w:noProof/>
          </w:rPr>
          <w:t>Compare Investments</w:t>
        </w:r>
        <w:r w:rsidR="00945C26">
          <w:rPr>
            <w:noProof/>
            <w:webHidden/>
          </w:rPr>
          <w:tab/>
        </w:r>
        <w:r>
          <w:rPr>
            <w:noProof/>
            <w:webHidden/>
          </w:rPr>
          <w:fldChar w:fldCharType="begin"/>
        </w:r>
        <w:r w:rsidR="00945C26">
          <w:rPr>
            <w:noProof/>
            <w:webHidden/>
          </w:rPr>
          <w:instrText xml:space="preserve"> PAGEREF _Toc366488498 \h </w:instrText>
        </w:r>
        <w:r>
          <w:rPr>
            <w:noProof/>
            <w:webHidden/>
          </w:rPr>
        </w:r>
        <w:r>
          <w:rPr>
            <w:noProof/>
            <w:webHidden/>
          </w:rPr>
          <w:fldChar w:fldCharType="separate"/>
        </w:r>
        <w:r w:rsidR="00945C26">
          <w:rPr>
            <w:noProof/>
            <w:webHidden/>
          </w:rPr>
          <w:t>14</w:t>
        </w:r>
        <w:r>
          <w:rPr>
            <w:noProof/>
            <w:webHidden/>
          </w:rPr>
          <w:fldChar w:fldCharType="end"/>
        </w:r>
      </w:hyperlink>
    </w:p>
    <w:p w:rsidR="00945C26" w:rsidRDefault="000300E4">
      <w:pPr>
        <w:pStyle w:val="TOC1"/>
        <w:tabs>
          <w:tab w:val="left" w:pos="480"/>
          <w:tab w:val="right" w:leader="dot" w:pos="9350"/>
        </w:tabs>
        <w:rPr>
          <w:rFonts w:eastAsiaTheme="minorEastAsia" w:cstheme="minorBidi"/>
          <w:b w:val="0"/>
          <w:bCs w:val="0"/>
          <w:caps w:val="0"/>
          <w:noProof/>
          <w:sz w:val="22"/>
          <w:szCs w:val="22"/>
        </w:rPr>
      </w:pPr>
      <w:hyperlink w:anchor="_Toc366488499" w:history="1">
        <w:r w:rsidR="00945C26" w:rsidRPr="00672CA4">
          <w:rPr>
            <w:rStyle w:val="Hyperlink"/>
            <w:noProof/>
          </w:rPr>
          <w:t>13.</w:t>
        </w:r>
        <w:r w:rsidR="00945C26">
          <w:rPr>
            <w:rFonts w:eastAsiaTheme="minorEastAsia" w:cstheme="minorBidi"/>
            <w:b w:val="0"/>
            <w:bCs w:val="0"/>
            <w:caps w:val="0"/>
            <w:noProof/>
            <w:sz w:val="22"/>
            <w:szCs w:val="22"/>
          </w:rPr>
          <w:tab/>
        </w:r>
        <w:r w:rsidR="00945C26" w:rsidRPr="00672CA4">
          <w:rPr>
            <w:rStyle w:val="Hyperlink"/>
            <w:noProof/>
          </w:rPr>
          <w:t>Executive Summary</w:t>
        </w:r>
        <w:r w:rsidR="00945C26">
          <w:rPr>
            <w:noProof/>
            <w:webHidden/>
          </w:rPr>
          <w:tab/>
        </w:r>
        <w:r>
          <w:rPr>
            <w:noProof/>
            <w:webHidden/>
          </w:rPr>
          <w:fldChar w:fldCharType="begin"/>
        </w:r>
        <w:r w:rsidR="00945C26">
          <w:rPr>
            <w:noProof/>
            <w:webHidden/>
          </w:rPr>
          <w:instrText xml:space="preserve"> PAGEREF _Toc366488499 \h </w:instrText>
        </w:r>
        <w:r>
          <w:rPr>
            <w:noProof/>
            <w:webHidden/>
          </w:rPr>
        </w:r>
        <w:r>
          <w:rPr>
            <w:noProof/>
            <w:webHidden/>
          </w:rPr>
          <w:fldChar w:fldCharType="separate"/>
        </w:r>
        <w:r w:rsidR="00945C26">
          <w:rPr>
            <w:noProof/>
            <w:webHidden/>
          </w:rPr>
          <w:t>15</w:t>
        </w:r>
        <w:r>
          <w:rPr>
            <w:noProof/>
            <w:webHidden/>
          </w:rPr>
          <w:fldChar w:fldCharType="end"/>
        </w:r>
      </w:hyperlink>
    </w:p>
    <w:p w:rsidR="00945C26" w:rsidRDefault="000300E4">
      <w:pPr>
        <w:pStyle w:val="TOC1"/>
        <w:tabs>
          <w:tab w:val="right" w:leader="dot" w:pos="9350"/>
        </w:tabs>
        <w:rPr>
          <w:rFonts w:eastAsiaTheme="minorEastAsia" w:cstheme="minorBidi"/>
          <w:b w:val="0"/>
          <w:bCs w:val="0"/>
          <w:caps w:val="0"/>
          <w:noProof/>
          <w:sz w:val="22"/>
          <w:szCs w:val="22"/>
        </w:rPr>
      </w:pPr>
      <w:hyperlink w:anchor="_Toc366488500" w:history="1">
        <w:r w:rsidR="00945C26" w:rsidRPr="00672CA4">
          <w:rPr>
            <w:rStyle w:val="Hyperlink"/>
            <w:rFonts w:cs="Arial"/>
            <w:noProof/>
          </w:rPr>
          <w:t>Appendix A: References</w:t>
        </w:r>
        <w:r w:rsidR="00945C26">
          <w:rPr>
            <w:noProof/>
            <w:webHidden/>
          </w:rPr>
          <w:tab/>
        </w:r>
        <w:r>
          <w:rPr>
            <w:noProof/>
            <w:webHidden/>
          </w:rPr>
          <w:fldChar w:fldCharType="begin"/>
        </w:r>
        <w:r w:rsidR="00945C26">
          <w:rPr>
            <w:noProof/>
            <w:webHidden/>
          </w:rPr>
          <w:instrText xml:space="preserve"> PAGEREF _Toc366488500 \h </w:instrText>
        </w:r>
        <w:r>
          <w:rPr>
            <w:noProof/>
            <w:webHidden/>
          </w:rPr>
        </w:r>
        <w:r>
          <w:rPr>
            <w:noProof/>
            <w:webHidden/>
          </w:rPr>
          <w:fldChar w:fldCharType="separate"/>
        </w:r>
        <w:r w:rsidR="00945C26">
          <w:rPr>
            <w:noProof/>
            <w:webHidden/>
          </w:rPr>
          <w:t>17</w:t>
        </w:r>
        <w:r>
          <w:rPr>
            <w:noProof/>
            <w:webHidden/>
          </w:rPr>
          <w:fldChar w:fldCharType="end"/>
        </w:r>
      </w:hyperlink>
    </w:p>
    <w:p w:rsidR="00945C26" w:rsidRDefault="000300E4">
      <w:pPr>
        <w:pStyle w:val="TOC1"/>
        <w:tabs>
          <w:tab w:val="right" w:leader="dot" w:pos="9350"/>
        </w:tabs>
        <w:rPr>
          <w:rFonts w:eastAsiaTheme="minorEastAsia" w:cstheme="minorBidi"/>
          <w:b w:val="0"/>
          <w:bCs w:val="0"/>
          <w:caps w:val="0"/>
          <w:noProof/>
          <w:sz w:val="22"/>
          <w:szCs w:val="22"/>
        </w:rPr>
      </w:pPr>
      <w:hyperlink w:anchor="_Toc366488501" w:history="1">
        <w:r w:rsidR="00945C26" w:rsidRPr="00672CA4">
          <w:rPr>
            <w:rStyle w:val="Hyperlink"/>
            <w:rFonts w:cs="Arial"/>
            <w:noProof/>
          </w:rPr>
          <w:t>Approvals/Signatures</w:t>
        </w:r>
        <w:r w:rsidR="00945C26">
          <w:rPr>
            <w:noProof/>
            <w:webHidden/>
          </w:rPr>
          <w:tab/>
        </w:r>
        <w:r>
          <w:rPr>
            <w:noProof/>
            <w:webHidden/>
          </w:rPr>
          <w:fldChar w:fldCharType="begin"/>
        </w:r>
        <w:r w:rsidR="00945C26">
          <w:rPr>
            <w:noProof/>
            <w:webHidden/>
          </w:rPr>
          <w:instrText xml:space="preserve"> PAGEREF _Toc366488501 \h </w:instrText>
        </w:r>
        <w:r>
          <w:rPr>
            <w:noProof/>
            <w:webHidden/>
          </w:rPr>
        </w:r>
        <w:r>
          <w:rPr>
            <w:noProof/>
            <w:webHidden/>
          </w:rPr>
          <w:fldChar w:fldCharType="separate"/>
        </w:r>
        <w:r w:rsidR="00945C26">
          <w:rPr>
            <w:noProof/>
            <w:webHidden/>
          </w:rPr>
          <w:t>18</w:t>
        </w:r>
        <w:r>
          <w:rPr>
            <w:noProof/>
            <w:webHidden/>
          </w:rPr>
          <w:fldChar w:fldCharType="end"/>
        </w:r>
      </w:hyperlink>
    </w:p>
    <w:p w:rsidR="00796552" w:rsidRDefault="000300E4">
      <w:pPr>
        <w:rPr>
          <w:rFonts w:ascii="Arial" w:hAnsi="Arial" w:cs="Arial"/>
          <w:noProof/>
          <w:szCs w:val="28"/>
        </w:rPr>
      </w:pPr>
      <w:r>
        <w:rPr>
          <w:rFonts w:asciiTheme="minorHAnsi" w:hAnsiTheme="minorHAnsi" w:cs="Arial"/>
          <w:b/>
          <w:bCs/>
          <w:caps/>
          <w:noProof/>
          <w:sz w:val="20"/>
          <w:szCs w:val="28"/>
        </w:rPr>
        <w:fldChar w:fldCharType="end"/>
      </w: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796552" w:rsidRDefault="00796552">
      <w:pPr>
        <w:rPr>
          <w:rFonts w:ascii="Arial" w:hAnsi="Arial" w:cs="Arial"/>
          <w:noProof/>
          <w:szCs w:val="28"/>
        </w:rPr>
      </w:pPr>
    </w:p>
    <w:p w:rsidR="004172F6" w:rsidRDefault="004172F6" w:rsidP="00214EC1">
      <w:pPr>
        <w:pStyle w:val="Heading1"/>
      </w:pPr>
      <w:bookmarkStart w:id="7" w:name="_Toc365626699"/>
      <w:bookmarkStart w:id="8" w:name="_Toc366488485"/>
      <w:r w:rsidRPr="005379F5">
        <w:lastRenderedPageBreak/>
        <w:t>Glossary</w:t>
      </w:r>
      <w:bookmarkEnd w:id="7"/>
      <w:bookmarkEnd w:id="8"/>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4172F6" w:rsidRPr="00981BE4" w:rsidTr="004172F6">
        <w:trPr>
          <w:cantSplit/>
          <w:tblHeader/>
          <w:jc w:val="center"/>
        </w:trPr>
        <w:tc>
          <w:tcPr>
            <w:tcW w:w="2637" w:type="dxa"/>
            <w:tcBorders>
              <w:top w:val="single" w:sz="4" w:space="0" w:color="auto"/>
              <w:left w:val="single" w:sz="4" w:space="0" w:color="auto"/>
            </w:tcBorders>
            <w:shd w:val="clear" w:color="auto" w:fill="1F497D" w:themeFill="text2"/>
          </w:tcPr>
          <w:p w:rsidR="004172F6" w:rsidRPr="00C97B32" w:rsidRDefault="004172F6" w:rsidP="004172F6">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4172F6" w:rsidRPr="00C97B32" w:rsidRDefault="004172F6" w:rsidP="004172F6">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4172F6" w:rsidRPr="00981BE4" w:rsidTr="004172F6">
        <w:trPr>
          <w:cantSplit/>
          <w:jc w:val="center"/>
        </w:trPr>
        <w:tc>
          <w:tcPr>
            <w:tcW w:w="2637" w:type="dxa"/>
            <w:tcBorders>
              <w:left w:val="single" w:sz="4" w:space="0" w:color="auto"/>
            </w:tcBorders>
            <w:vAlign w:val="bottom"/>
          </w:tcPr>
          <w:p w:rsidR="004172F6" w:rsidRDefault="004172F6" w:rsidP="004172F6">
            <w:pPr>
              <w:rPr>
                <w:rFonts w:cs="Calibri"/>
              </w:rPr>
            </w:pPr>
          </w:p>
        </w:tc>
        <w:tc>
          <w:tcPr>
            <w:tcW w:w="6435" w:type="dxa"/>
            <w:tcBorders>
              <w:right w:val="single" w:sz="4" w:space="0" w:color="auto"/>
            </w:tcBorders>
            <w:vAlign w:val="bottom"/>
          </w:tcPr>
          <w:p w:rsidR="004172F6" w:rsidRDefault="004172F6" w:rsidP="004172F6">
            <w:pPr>
              <w:rPr>
                <w:rFonts w:cs="Calibri"/>
              </w:rPr>
            </w:pPr>
          </w:p>
        </w:tc>
      </w:tr>
      <w:tr w:rsidR="004172F6" w:rsidRPr="00981BE4" w:rsidTr="004172F6">
        <w:trPr>
          <w:cantSplit/>
          <w:jc w:val="center"/>
        </w:trPr>
        <w:tc>
          <w:tcPr>
            <w:tcW w:w="2637" w:type="dxa"/>
            <w:tcBorders>
              <w:left w:val="single" w:sz="4" w:space="0" w:color="auto"/>
            </w:tcBorders>
            <w:vAlign w:val="bottom"/>
          </w:tcPr>
          <w:p w:rsidR="004172F6" w:rsidRDefault="004172F6" w:rsidP="004172F6">
            <w:pPr>
              <w:rPr>
                <w:rFonts w:cs="Calibri"/>
              </w:rPr>
            </w:pPr>
          </w:p>
        </w:tc>
        <w:tc>
          <w:tcPr>
            <w:tcW w:w="6435" w:type="dxa"/>
            <w:tcBorders>
              <w:right w:val="single" w:sz="4" w:space="0" w:color="auto"/>
            </w:tcBorders>
            <w:vAlign w:val="bottom"/>
          </w:tcPr>
          <w:p w:rsidR="004172F6" w:rsidRDefault="004172F6" w:rsidP="004172F6">
            <w:pPr>
              <w:rPr>
                <w:rFonts w:cs="Calibri"/>
              </w:rPr>
            </w:pPr>
          </w:p>
        </w:tc>
      </w:tr>
      <w:tr w:rsidR="004172F6" w:rsidRPr="00981BE4" w:rsidTr="004172F6">
        <w:trPr>
          <w:cantSplit/>
          <w:jc w:val="center"/>
        </w:trPr>
        <w:tc>
          <w:tcPr>
            <w:tcW w:w="2637" w:type="dxa"/>
            <w:tcBorders>
              <w:left w:val="single" w:sz="4" w:space="0" w:color="auto"/>
            </w:tcBorders>
            <w:vAlign w:val="bottom"/>
          </w:tcPr>
          <w:p w:rsidR="004172F6" w:rsidRDefault="004172F6" w:rsidP="004172F6">
            <w:pPr>
              <w:rPr>
                <w:rFonts w:ascii="Calibri" w:hAnsi="Calibri" w:cs="Calibri"/>
                <w:color w:val="000000"/>
              </w:rPr>
            </w:pPr>
          </w:p>
        </w:tc>
        <w:tc>
          <w:tcPr>
            <w:tcW w:w="6435" w:type="dxa"/>
            <w:tcBorders>
              <w:right w:val="single" w:sz="4" w:space="0" w:color="auto"/>
            </w:tcBorders>
            <w:vAlign w:val="bottom"/>
          </w:tcPr>
          <w:p w:rsidR="004172F6" w:rsidRDefault="004172F6" w:rsidP="004172F6">
            <w:pPr>
              <w:rPr>
                <w:rFonts w:cs="Calibri"/>
                <w:color w:val="000000"/>
              </w:rPr>
            </w:pPr>
          </w:p>
        </w:tc>
      </w:tr>
      <w:tr w:rsidR="004172F6" w:rsidRPr="00981BE4" w:rsidTr="004172F6">
        <w:trPr>
          <w:cantSplit/>
          <w:jc w:val="center"/>
        </w:trPr>
        <w:tc>
          <w:tcPr>
            <w:tcW w:w="2637" w:type="dxa"/>
            <w:tcBorders>
              <w:left w:val="single" w:sz="4" w:space="0" w:color="auto"/>
            </w:tcBorders>
            <w:vAlign w:val="bottom"/>
          </w:tcPr>
          <w:p w:rsidR="004172F6" w:rsidRDefault="004172F6" w:rsidP="004172F6">
            <w:pPr>
              <w:rPr>
                <w:rFonts w:cs="Calibri"/>
              </w:rPr>
            </w:pPr>
          </w:p>
        </w:tc>
        <w:tc>
          <w:tcPr>
            <w:tcW w:w="6435" w:type="dxa"/>
            <w:tcBorders>
              <w:right w:val="single" w:sz="4" w:space="0" w:color="auto"/>
            </w:tcBorders>
            <w:vAlign w:val="bottom"/>
          </w:tcPr>
          <w:p w:rsidR="004172F6" w:rsidRDefault="004172F6" w:rsidP="004172F6">
            <w:pPr>
              <w:rPr>
                <w:rFonts w:cs="Calibri"/>
              </w:rPr>
            </w:pPr>
          </w:p>
        </w:tc>
      </w:tr>
      <w:tr w:rsidR="00214EC1" w:rsidRPr="00981BE4" w:rsidTr="004172F6">
        <w:trPr>
          <w:cantSplit/>
          <w:jc w:val="center"/>
        </w:trPr>
        <w:tc>
          <w:tcPr>
            <w:tcW w:w="2637" w:type="dxa"/>
            <w:tcBorders>
              <w:left w:val="single" w:sz="4" w:space="0" w:color="auto"/>
            </w:tcBorders>
            <w:vAlign w:val="bottom"/>
          </w:tcPr>
          <w:p w:rsidR="00214EC1" w:rsidRDefault="00214EC1" w:rsidP="004172F6">
            <w:pPr>
              <w:rPr>
                <w:rFonts w:cs="Calibri"/>
              </w:rPr>
            </w:pPr>
          </w:p>
        </w:tc>
        <w:tc>
          <w:tcPr>
            <w:tcW w:w="6435" w:type="dxa"/>
            <w:tcBorders>
              <w:right w:val="single" w:sz="4" w:space="0" w:color="auto"/>
            </w:tcBorders>
            <w:vAlign w:val="bottom"/>
          </w:tcPr>
          <w:p w:rsidR="00214EC1" w:rsidRDefault="00214EC1" w:rsidP="004172F6">
            <w:pPr>
              <w:rPr>
                <w:rFonts w:cs="Calibri"/>
              </w:rPr>
            </w:pPr>
          </w:p>
        </w:tc>
      </w:tr>
      <w:tr w:rsidR="00214EC1" w:rsidRPr="00981BE4" w:rsidTr="004172F6">
        <w:trPr>
          <w:cantSplit/>
          <w:jc w:val="center"/>
        </w:trPr>
        <w:tc>
          <w:tcPr>
            <w:tcW w:w="2637" w:type="dxa"/>
            <w:tcBorders>
              <w:left w:val="single" w:sz="4" w:space="0" w:color="auto"/>
            </w:tcBorders>
            <w:vAlign w:val="bottom"/>
          </w:tcPr>
          <w:p w:rsidR="00214EC1" w:rsidRDefault="00214EC1" w:rsidP="004172F6">
            <w:pPr>
              <w:rPr>
                <w:rFonts w:cs="Calibri"/>
              </w:rPr>
            </w:pPr>
          </w:p>
        </w:tc>
        <w:tc>
          <w:tcPr>
            <w:tcW w:w="6435" w:type="dxa"/>
            <w:tcBorders>
              <w:right w:val="single" w:sz="4" w:space="0" w:color="auto"/>
            </w:tcBorders>
            <w:vAlign w:val="bottom"/>
          </w:tcPr>
          <w:p w:rsidR="00214EC1" w:rsidRDefault="00214EC1" w:rsidP="004172F6">
            <w:pPr>
              <w:rPr>
                <w:rFonts w:cs="Calibri"/>
              </w:rPr>
            </w:pPr>
          </w:p>
        </w:tc>
      </w:tr>
      <w:tr w:rsidR="00214EC1" w:rsidRPr="00981BE4" w:rsidTr="004172F6">
        <w:trPr>
          <w:cantSplit/>
          <w:jc w:val="center"/>
        </w:trPr>
        <w:tc>
          <w:tcPr>
            <w:tcW w:w="2637" w:type="dxa"/>
            <w:tcBorders>
              <w:left w:val="single" w:sz="4" w:space="0" w:color="auto"/>
            </w:tcBorders>
            <w:vAlign w:val="bottom"/>
          </w:tcPr>
          <w:p w:rsidR="00214EC1" w:rsidRDefault="00214EC1" w:rsidP="004172F6">
            <w:pPr>
              <w:rPr>
                <w:rFonts w:cs="Calibri"/>
              </w:rPr>
            </w:pPr>
          </w:p>
        </w:tc>
        <w:tc>
          <w:tcPr>
            <w:tcW w:w="6435" w:type="dxa"/>
            <w:tcBorders>
              <w:right w:val="single" w:sz="4" w:space="0" w:color="auto"/>
            </w:tcBorders>
            <w:vAlign w:val="bottom"/>
          </w:tcPr>
          <w:p w:rsidR="00214EC1" w:rsidRDefault="00214EC1" w:rsidP="004172F6">
            <w:pPr>
              <w:rPr>
                <w:rFonts w:cs="Calibri"/>
              </w:rPr>
            </w:pPr>
          </w:p>
        </w:tc>
      </w:tr>
      <w:tr w:rsidR="00214EC1" w:rsidRPr="00981BE4" w:rsidTr="004172F6">
        <w:trPr>
          <w:cantSplit/>
          <w:jc w:val="center"/>
        </w:trPr>
        <w:tc>
          <w:tcPr>
            <w:tcW w:w="2637" w:type="dxa"/>
            <w:tcBorders>
              <w:left w:val="single" w:sz="4" w:space="0" w:color="auto"/>
            </w:tcBorders>
            <w:vAlign w:val="bottom"/>
          </w:tcPr>
          <w:p w:rsidR="00214EC1" w:rsidRDefault="00214EC1" w:rsidP="004172F6">
            <w:pPr>
              <w:rPr>
                <w:rFonts w:cs="Calibri"/>
              </w:rPr>
            </w:pPr>
          </w:p>
        </w:tc>
        <w:tc>
          <w:tcPr>
            <w:tcW w:w="6435" w:type="dxa"/>
            <w:tcBorders>
              <w:right w:val="single" w:sz="4" w:space="0" w:color="auto"/>
            </w:tcBorders>
            <w:vAlign w:val="bottom"/>
          </w:tcPr>
          <w:p w:rsidR="00214EC1" w:rsidRDefault="00214EC1" w:rsidP="004172F6">
            <w:pPr>
              <w:rPr>
                <w:rFonts w:cs="Calibri"/>
              </w:rPr>
            </w:pPr>
          </w:p>
        </w:tc>
      </w:tr>
    </w:tbl>
    <w:p w:rsidR="004172F6" w:rsidRPr="004172F6" w:rsidRDefault="004172F6" w:rsidP="004172F6"/>
    <w:p w:rsidR="00214EC1" w:rsidRDefault="00214EC1" w:rsidP="00214EC1">
      <w:pPr>
        <w:pStyle w:val="Heading1"/>
      </w:pPr>
    </w:p>
    <w:p w:rsidR="00214EC1" w:rsidRDefault="00214EC1" w:rsidP="00214EC1"/>
    <w:p w:rsidR="00214EC1" w:rsidRDefault="00214EC1" w:rsidP="00214EC1"/>
    <w:p w:rsidR="00214EC1" w:rsidRDefault="00214EC1" w:rsidP="00214EC1"/>
    <w:p w:rsidR="00214EC1" w:rsidRDefault="00214EC1" w:rsidP="00214EC1"/>
    <w:p w:rsidR="00214EC1" w:rsidRDefault="00214EC1" w:rsidP="00214EC1"/>
    <w:p w:rsidR="00214EC1" w:rsidRDefault="00214EC1" w:rsidP="00214EC1"/>
    <w:p w:rsidR="00214EC1" w:rsidRDefault="00214EC1" w:rsidP="00214EC1"/>
    <w:p w:rsidR="00214EC1" w:rsidRDefault="00214EC1" w:rsidP="00214EC1"/>
    <w:p w:rsidR="00214EC1" w:rsidRDefault="00214EC1" w:rsidP="00214EC1"/>
    <w:p w:rsidR="00214EC1" w:rsidRDefault="00214EC1" w:rsidP="00214EC1"/>
    <w:p w:rsidR="00214EC1" w:rsidRPr="00214EC1" w:rsidRDefault="00214EC1" w:rsidP="00214EC1"/>
    <w:p w:rsidR="004D08FD" w:rsidRPr="00796552" w:rsidRDefault="004D08FD" w:rsidP="00214EC1">
      <w:pPr>
        <w:pStyle w:val="Heading1"/>
      </w:pPr>
      <w:bookmarkStart w:id="9" w:name="_Toc366488486"/>
      <w:r w:rsidRPr="00796552">
        <w:lastRenderedPageBreak/>
        <w:t>Notes to the Author</w:t>
      </w:r>
      <w:bookmarkEnd w:id="9"/>
    </w:p>
    <w:p w:rsidR="004D08FD" w:rsidRPr="00796552" w:rsidRDefault="004D08FD" w:rsidP="004D08FD">
      <w:pPr>
        <w:pStyle w:val="Instructions"/>
        <w:rPr>
          <w:rFonts w:ascii="Arial Narrow" w:hAnsi="Arial Narrow" w:cs="Arial"/>
          <w:i w:val="0"/>
          <w:sz w:val="22"/>
          <w:szCs w:val="22"/>
        </w:rPr>
      </w:pPr>
      <w:r w:rsidRPr="00796552">
        <w:rPr>
          <w:rFonts w:ascii="Arial Narrow" w:hAnsi="Arial Narrow" w:cs="Arial"/>
          <w:i w:val="0"/>
          <w:sz w:val="22"/>
          <w:szCs w:val="22"/>
        </w:rPr>
        <w:t xml:space="preserve">[This document is a template of an Alternatives Analysis document which also includes the </w:t>
      </w:r>
      <w:fldSimple w:instr=" DOCPROPERTY  Title  \* MERGEFORMAT ">
        <w:r w:rsidRPr="00796552">
          <w:rPr>
            <w:rFonts w:ascii="Arial Narrow" w:hAnsi="Arial Narrow" w:cs="Arial"/>
            <w:i w:val="0"/>
            <w:sz w:val="22"/>
            <w:szCs w:val="22"/>
          </w:rPr>
          <w:t>Cost Benefit Analysis</w:t>
        </w:r>
      </w:fldSimple>
      <w:r w:rsidRPr="00796552">
        <w:rPr>
          <w:rFonts w:ascii="Arial Narrow" w:hAnsi="Arial Narrow" w:cs="Arial"/>
          <w:i w:val="0"/>
          <w:sz w:val="22"/>
          <w:szCs w:val="22"/>
        </w:rPr>
        <w:t xml:space="preserve"> for a project. The template includes instructions to the author, boilerplate text, and fields that should be replaced with the values specific to the project.</w:t>
      </w:r>
    </w:p>
    <w:p w:rsidR="004D08FD" w:rsidRPr="00796552" w:rsidRDefault="004D08FD" w:rsidP="004D08FD">
      <w:pPr>
        <w:pStyle w:val="Instructions"/>
        <w:rPr>
          <w:rFonts w:ascii="Arial Narrow" w:hAnsi="Arial Narrow" w:cs="Arial"/>
          <w:i w:val="0"/>
          <w:sz w:val="22"/>
          <w:szCs w:val="22"/>
        </w:rPr>
      </w:pPr>
      <w:r w:rsidRPr="00796552">
        <w:rPr>
          <w:rFonts w:ascii="Arial Narrow" w:hAnsi="Arial Narrow" w:cs="Arial"/>
          <w:i w:val="0"/>
          <w:sz w:val="22"/>
          <w:szCs w:val="22"/>
        </w:rPr>
        <w:t xml:space="preserve">When using this template for your project document, it is recommended that you follow these steps: </w:t>
      </w:r>
    </w:p>
    <w:p w:rsidR="004D08FD" w:rsidRPr="00796552" w:rsidRDefault="004D08FD" w:rsidP="004D08FD">
      <w:pPr>
        <w:pStyle w:val="Instructions"/>
        <w:rPr>
          <w:rFonts w:ascii="Arial Narrow" w:hAnsi="Arial Narrow" w:cs="Arial"/>
          <w:i w:val="0"/>
          <w:sz w:val="22"/>
          <w:szCs w:val="22"/>
        </w:rPr>
      </w:pPr>
    </w:p>
    <w:p w:rsidR="004D08FD" w:rsidRPr="00796552" w:rsidRDefault="004D08FD" w:rsidP="004D08FD">
      <w:pPr>
        <w:pStyle w:val="Instructions"/>
        <w:numPr>
          <w:ilvl w:val="0"/>
          <w:numId w:val="2"/>
        </w:numPr>
        <w:rPr>
          <w:rFonts w:ascii="Arial Narrow" w:hAnsi="Arial Narrow" w:cs="Arial"/>
          <w:i w:val="0"/>
          <w:sz w:val="22"/>
          <w:szCs w:val="22"/>
        </w:rPr>
      </w:pPr>
      <w:r w:rsidRPr="00796552">
        <w:rPr>
          <w:rFonts w:ascii="Arial Narrow" w:hAnsi="Arial Narrow" w:cs="Arial"/>
          <w:i w:val="0"/>
          <w:sz w:val="22"/>
          <w:szCs w:val="22"/>
        </w:rPr>
        <w:t>Replace all text enclosed in angle brackets (i.e., &lt;Investment Name&gt;) with the correct field values. These angle brackets appear in both the body of the document and in headers and footers.  To customize fields in Microsoft Word (which display a gray background when selected):</w:t>
      </w:r>
    </w:p>
    <w:p w:rsidR="004D08FD" w:rsidRPr="00796552" w:rsidRDefault="004D08FD" w:rsidP="004D08FD">
      <w:pPr>
        <w:pStyle w:val="InfoBlue"/>
        <w:numPr>
          <w:ilvl w:val="1"/>
          <w:numId w:val="1"/>
        </w:numPr>
        <w:rPr>
          <w:rFonts w:ascii="Arial Narrow" w:hAnsi="Arial Narrow" w:cs="Arial"/>
          <w:i w:val="0"/>
          <w:sz w:val="22"/>
          <w:szCs w:val="22"/>
        </w:rPr>
      </w:pPr>
      <w:r w:rsidRPr="00796552">
        <w:rPr>
          <w:rFonts w:ascii="Arial Narrow" w:hAnsi="Arial Narrow" w:cs="Arial"/>
          <w:i w:val="0"/>
          <w:sz w:val="22"/>
          <w:szCs w:val="22"/>
        </w:rPr>
        <w:t xml:space="preserve">Select File&gt;Properties&gt;Summary and fill in the Title field with the Document Name and the Subject field with the Project Name.  </w:t>
      </w:r>
    </w:p>
    <w:p w:rsidR="004D08FD" w:rsidRPr="00796552" w:rsidRDefault="004D08FD" w:rsidP="004D08FD">
      <w:pPr>
        <w:pStyle w:val="InfoBlue"/>
        <w:numPr>
          <w:ilvl w:val="1"/>
          <w:numId w:val="1"/>
        </w:numPr>
        <w:rPr>
          <w:rFonts w:ascii="Arial Narrow" w:hAnsi="Arial Narrow" w:cs="Arial"/>
          <w:i w:val="0"/>
          <w:sz w:val="22"/>
          <w:szCs w:val="22"/>
        </w:rPr>
      </w:pPr>
      <w:r w:rsidRPr="00796552">
        <w:rPr>
          <w:rFonts w:ascii="Arial Narrow" w:hAnsi="Arial Narrow" w:cs="Arial"/>
          <w:i w:val="0"/>
          <w:sz w:val="22"/>
          <w:szCs w:val="22"/>
        </w:rPr>
        <w:t xml:space="preserve">Select File&gt;Properties&gt;Custom and fill in the Last Modified, Status, and Version fields with the appropriate information for this document. </w:t>
      </w:r>
    </w:p>
    <w:p w:rsidR="004D08FD" w:rsidRPr="00796552" w:rsidRDefault="004D08FD" w:rsidP="004D08FD">
      <w:pPr>
        <w:pStyle w:val="InfoBlue"/>
        <w:numPr>
          <w:ilvl w:val="1"/>
          <w:numId w:val="1"/>
        </w:numPr>
        <w:rPr>
          <w:rFonts w:ascii="Arial Narrow" w:hAnsi="Arial Narrow" w:cs="Arial"/>
          <w:i w:val="0"/>
          <w:sz w:val="22"/>
          <w:szCs w:val="22"/>
        </w:rPr>
      </w:pPr>
      <w:r w:rsidRPr="00796552">
        <w:rPr>
          <w:rFonts w:ascii="Arial Narrow" w:hAnsi="Arial Narrow" w:cs="Arial"/>
          <w:i w:val="0"/>
          <w:sz w:val="22"/>
          <w:szCs w:val="22"/>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4D08FD" w:rsidRPr="00796552" w:rsidRDefault="004D08FD" w:rsidP="00796552">
      <w:pPr>
        <w:pStyle w:val="Instructions"/>
        <w:numPr>
          <w:ilvl w:val="0"/>
          <w:numId w:val="2"/>
        </w:numPr>
        <w:rPr>
          <w:rFonts w:ascii="Arial Narrow" w:hAnsi="Arial Narrow" w:cs="Arial"/>
          <w:i w:val="0"/>
          <w:sz w:val="22"/>
          <w:szCs w:val="22"/>
        </w:rPr>
      </w:pPr>
      <w:r w:rsidRPr="00796552">
        <w:rPr>
          <w:rFonts w:ascii="Arial Narrow" w:hAnsi="Arial Narrow" w:cs="Arial"/>
          <w:i w:val="0"/>
          <w:sz w:val="22"/>
          <w:szCs w:val="22"/>
        </w:rPr>
        <w:t xml:space="preserve">Modify boilerplate text as appropriate to the specific project. </w:t>
      </w:r>
    </w:p>
    <w:p w:rsidR="004D08FD" w:rsidRPr="00796552" w:rsidRDefault="004D08FD" w:rsidP="00796552">
      <w:pPr>
        <w:pStyle w:val="Instructions"/>
        <w:numPr>
          <w:ilvl w:val="0"/>
          <w:numId w:val="2"/>
        </w:numPr>
        <w:rPr>
          <w:rFonts w:ascii="Arial Narrow" w:hAnsi="Arial Narrow" w:cs="Arial"/>
          <w:i w:val="0"/>
          <w:sz w:val="22"/>
          <w:szCs w:val="22"/>
        </w:rPr>
      </w:pPr>
      <w:r w:rsidRPr="00796552">
        <w:rPr>
          <w:rFonts w:ascii="Arial Narrow" w:hAnsi="Arial Narrow" w:cs="Arial"/>
          <w:i w:val="0"/>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4D08FD" w:rsidRPr="00796552" w:rsidRDefault="004D08FD" w:rsidP="00796552">
      <w:pPr>
        <w:pStyle w:val="Instructions"/>
        <w:numPr>
          <w:ilvl w:val="0"/>
          <w:numId w:val="2"/>
        </w:numPr>
        <w:rPr>
          <w:rFonts w:ascii="Arial Narrow" w:hAnsi="Arial Narrow" w:cs="Arial"/>
          <w:i w:val="0"/>
          <w:sz w:val="22"/>
          <w:szCs w:val="22"/>
        </w:rPr>
      </w:pPr>
      <w:r w:rsidRPr="00796552">
        <w:rPr>
          <w:rFonts w:ascii="Arial Narrow" w:hAnsi="Arial Narrow" w:cs="Arial"/>
          <w:i w:val="0"/>
          <w:sz w:val="22"/>
          <w:szCs w:val="22"/>
        </w:rPr>
        <w:t>To update the Table of Contents, right-click and select “Update field” and choose the option- “Update entire table”</w:t>
      </w:r>
    </w:p>
    <w:p w:rsidR="004D08FD" w:rsidRPr="00796552" w:rsidRDefault="004D08FD" w:rsidP="00796552">
      <w:pPr>
        <w:pStyle w:val="Instructions"/>
        <w:numPr>
          <w:ilvl w:val="0"/>
          <w:numId w:val="2"/>
        </w:numPr>
        <w:rPr>
          <w:rFonts w:ascii="Arial Narrow" w:hAnsi="Arial Narrow" w:cs="Arial"/>
          <w:i w:val="0"/>
          <w:sz w:val="22"/>
          <w:szCs w:val="22"/>
        </w:rPr>
      </w:pPr>
      <w:r w:rsidRPr="00796552">
        <w:rPr>
          <w:rFonts w:ascii="Arial Narrow" w:hAnsi="Arial Narrow" w:cs="Arial"/>
          <w:i w:val="0"/>
          <w:sz w:val="22"/>
          <w:szCs w:val="22"/>
        </w:rPr>
        <w:t>Before submission of the first draft of this document, delete this “Notes to the Author” page and all instructions to the author, which appear throughout the document as blue italicized text enclosed in square brackets.]</w:t>
      </w:r>
    </w:p>
    <w:p w:rsidR="00BC5C8C" w:rsidRPr="003C281E" w:rsidRDefault="00BC5C8C" w:rsidP="00BC5C8C">
      <w:pPr>
        <w:pStyle w:val="InfoBlue"/>
        <w:spacing w:after="0"/>
        <w:rPr>
          <w:rFonts w:ascii="Arial Narrow" w:hAnsi="Arial Narrow" w:cs="Arial"/>
          <w:sz w:val="22"/>
          <w:szCs w:val="22"/>
        </w:rPr>
      </w:pPr>
      <w:r w:rsidRPr="003C281E">
        <w:rPr>
          <w:rFonts w:ascii="Arial Narrow" w:hAnsi="Arial Narrow" w:cs="Arial"/>
          <w:noProof/>
          <w:sz w:val="22"/>
          <w:szCs w:val="22"/>
        </w:rPr>
        <w:br w:type="page"/>
      </w:r>
      <w:bookmarkStart w:id="10" w:name="_Toc523878297"/>
      <w:bookmarkStart w:id="11" w:name="_Toc436203377"/>
      <w:bookmarkStart w:id="12" w:name="_Toc452813577"/>
      <w:bookmarkStart w:id="13" w:name="OLE_LINK5"/>
      <w:bookmarkStart w:id="14" w:name="OLE_LINK2"/>
      <w:bookmarkStart w:id="15" w:name="OLE_LINK3"/>
    </w:p>
    <w:p w:rsidR="00BC5C8C" w:rsidRPr="00796552" w:rsidRDefault="00BC5C8C" w:rsidP="00214EC1">
      <w:pPr>
        <w:pStyle w:val="Heading1"/>
        <w:numPr>
          <w:ilvl w:val="0"/>
          <w:numId w:val="31"/>
        </w:numPr>
      </w:pPr>
      <w:bookmarkStart w:id="16" w:name="_Toc366488487"/>
      <w:bookmarkEnd w:id="10"/>
      <w:bookmarkEnd w:id="11"/>
      <w:bookmarkEnd w:id="12"/>
      <w:bookmarkEnd w:id="13"/>
      <w:bookmarkEnd w:id="14"/>
      <w:bookmarkEnd w:id="15"/>
      <w:r w:rsidRPr="00796552">
        <w:lastRenderedPageBreak/>
        <w:t>Objectives</w:t>
      </w:r>
      <w:bookmarkEnd w:id="16"/>
    </w:p>
    <w:p w:rsidR="00BC5C8C" w:rsidRPr="00796552" w:rsidRDefault="00BC5C8C" w:rsidP="00E63A9B">
      <w:pPr>
        <w:pStyle w:val="InfoBlue"/>
        <w:spacing w:before="240"/>
        <w:ind w:left="0"/>
        <w:rPr>
          <w:rFonts w:ascii="Arial Narrow" w:hAnsi="Arial Narrow" w:cs="Arial"/>
          <w:i w:val="0"/>
          <w:sz w:val="22"/>
          <w:szCs w:val="22"/>
        </w:rPr>
      </w:pPr>
      <w:r w:rsidRPr="00796552">
        <w:rPr>
          <w:rFonts w:ascii="Arial Narrow" w:hAnsi="Arial Narrow" w:cs="Arial"/>
          <w:i w:val="0"/>
          <w:sz w:val="22"/>
          <w:szCs w:val="22"/>
        </w:rPr>
        <w:t>[The Alternative Analysis should include a problem definition; pertinent background information such as staffing, system history, and customer satisfaction data; and a list of investment objectives that identify how the system will improve the work process and support the mission.]</w:t>
      </w:r>
    </w:p>
    <w:p w:rsidR="00BC5C8C" w:rsidRPr="003E52F5" w:rsidRDefault="00BC5C8C" w:rsidP="00214EC1">
      <w:pPr>
        <w:pStyle w:val="Heading1"/>
        <w:numPr>
          <w:ilvl w:val="0"/>
          <w:numId w:val="31"/>
        </w:numPr>
      </w:pPr>
      <w:bookmarkStart w:id="17" w:name="_Toc366488488"/>
      <w:r w:rsidRPr="003E52F5">
        <w:t>Current Process</w:t>
      </w:r>
      <w:bookmarkEnd w:id="17"/>
    </w:p>
    <w:p w:rsidR="00BC5C8C" w:rsidRPr="00796552" w:rsidRDefault="00BC5C8C" w:rsidP="00BC5C8C">
      <w:pPr>
        <w:autoSpaceDE w:val="0"/>
        <w:autoSpaceDN w:val="0"/>
        <w:adjustRightInd w:val="0"/>
        <w:rPr>
          <w:rFonts w:eastAsia="Times New Roman" w:cs="Arial"/>
          <w:color w:val="0000FF"/>
          <w:sz w:val="22"/>
          <w:szCs w:val="22"/>
        </w:rPr>
      </w:pPr>
      <w:r w:rsidRPr="00796552">
        <w:rPr>
          <w:rFonts w:eastAsia="Times New Roman" w:cs="Arial"/>
          <w:color w:val="0000FF"/>
          <w:sz w:val="22"/>
          <w:szCs w:val="22"/>
        </w:rPr>
        <w:t>[The current process should be thoroughly documented and address these areas:</w:t>
      </w:r>
    </w:p>
    <w:p w:rsidR="00BC5C8C" w:rsidRPr="0079655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796552">
        <w:rPr>
          <w:rFonts w:eastAsia="Times New Roman" w:cs="Arial"/>
          <w:color w:val="0000FF"/>
          <w:sz w:val="22"/>
          <w:szCs w:val="22"/>
        </w:rPr>
        <w:t>Customer Service—Each customer’s role and services required should be clearly documented and quantified, if possible (e.g., in an average month, a customer inputs two megabytes (MB) of data and spends 10 hours on database maintenance).</w:t>
      </w:r>
    </w:p>
    <w:p w:rsidR="00BC5C8C" w:rsidRPr="0079655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796552">
        <w:rPr>
          <w:rFonts w:eastAsia="Times New Roman" w:cs="Arial"/>
          <w:color w:val="0000FF"/>
          <w:sz w:val="22"/>
          <w:szCs w:val="22"/>
        </w:rPr>
        <w:t>System Capabilities—Resources required for peak demand should be listed. For example, 100 MBs of disk storage space and Help Desk personnel to support 50 users.</w:t>
      </w:r>
    </w:p>
    <w:p w:rsidR="00BC5C8C" w:rsidRPr="0079655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796552">
        <w:rPr>
          <w:rFonts w:eastAsia="Times New Roman" w:cs="Arial"/>
          <w:color w:val="0000FF"/>
          <w:sz w:val="22"/>
          <w:szCs w:val="22"/>
        </w:rPr>
        <w:t>System Architecture—The hardware, software, and physical facilities required should be</w:t>
      </w:r>
    </w:p>
    <w:p w:rsidR="00BC5C8C" w:rsidRPr="0079655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796552">
        <w:rPr>
          <w:rFonts w:eastAsia="Times New Roman" w:cs="Arial"/>
          <w:color w:val="0000FF"/>
          <w:sz w:val="22"/>
          <w:szCs w:val="22"/>
        </w:rPr>
        <w:t>documented, including information necessary for determining system costs, expected future utility of items, and the item owner/</w:t>
      </w:r>
      <w:proofErr w:type="spellStart"/>
      <w:r w:rsidRPr="00796552">
        <w:rPr>
          <w:rFonts w:eastAsia="Times New Roman" w:cs="Arial"/>
          <w:color w:val="0000FF"/>
          <w:sz w:val="22"/>
          <w:szCs w:val="22"/>
        </w:rPr>
        <w:t>lessor</w:t>
      </w:r>
      <w:proofErr w:type="spellEnd"/>
      <w:r w:rsidRPr="00796552">
        <w:rPr>
          <w:rFonts w:eastAsia="Times New Roman" w:cs="Arial"/>
          <w:color w:val="0000FF"/>
          <w:sz w:val="22"/>
          <w:szCs w:val="22"/>
        </w:rPr>
        <w:t xml:space="preserve"> (i.e., government or contractor). Table E-1—displays the information desired.</w:t>
      </w:r>
    </w:p>
    <w:p w:rsidR="00BC5C8C" w:rsidRPr="00796552" w:rsidRDefault="00BC5C8C" w:rsidP="001870A2">
      <w:pPr>
        <w:numPr>
          <w:ilvl w:val="0"/>
          <w:numId w:val="26"/>
        </w:numPr>
        <w:autoSpaceDE w:val="0"/>
        <w:autoSpaceDN w:val="0"/>
        <w:adjustRightInd w:val="0"/>
        <w:spacing w:line="240" w:lineRule="auto"/>
        <w:ind w:left="720"/>
        <w:rPr>
          <w:rFonts w:eastAsia="Times New Roman" w:cs="Arial"/>
          <w:color w:val="0000FF"/>
          <w:sz w:val="22"/>
          <w:szCs w:val="22"/>
        </w:rPr>
      </w:pPr>
      <w:r w:rsidRPr="00796552">
        <w:rPr>
          <w:rFonts w:eastAsia="Times New Roman" w:cs="Arial"/>
          <w:color w:val="0000FF"/>
          <w:sz w:val="22"/>
          <w:szCs w:val="22"/>
        </w:rPr>
        <w:t>System Costs—Current costs provide the Cost Benefits Analysis (CBA) baseline. Figure E-2—Cost Elements for Systems addresses the cost elements for most systems. However, a particular system may not include all elements identified within a category and may include some activities not shown.]</w:t>
      </w:r>
    </w:p>
    <w:p w:rsidR="00BC5C8C" w:rsidRDefault="00BC5C8C" w:rsidP="00BC5C8C">
      <w:r>
        <w:rPr>
          <w:noProof/>
        </w:rPr>
        <w:drawing>
          <wp:inline distT="0" distB="0" distL="0" distR="0">
            <wp:extent cx="5429250" cy="202882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29250" cy="2028825"/>
                    </a:xfrm>
                    <a:prstGeom prst="rect">
                      <a:avLst/>
                    </a:prstGeom>
                    <a:noFill/>
                    <a:ln w="9525">
                      <a:noFill/>
                      <a:miter lim="800000"/>
                      <a:headEnd/>
                      <a:tailEnd/>
                    </a:ln>
                  </pic:spPr>
                </pic:pic>
              </a:graphicData>
            </a:graphic>
          </wp:inline>
        </w:drawing>
      </w:r>
    </w:p>
    <w:p w:rsidR="001870A2" w:rsidRDefault="001870A2" w:rsidP="001870A2">
      <w:pPr>
        <w:spacing w:before="240"/>
      </w:pPr>
    </w:p>
    <w:p w:rsidR="001870A2" w:rsidRDefault="001870A2" w:rsidP="001870A2">
      <w:pPr>
        <w:spacing w:before="240"/>
      </w:pPr>
    </w:p>
    <w:p w:rsidR="001870A2" w:rsidRDefault="001870A2" w:rsidP="001870A2">
      <w:pPr>
        <w:spacing w:before="240"/>
      </w:pPr>
    </w:p>
    <w:p w:rsidR="001870A2" w:rsidRDefault="001870A2" w:rsidP="001870A2">
      <w:pPr>
        <w:spacing w:before="240"/>
      </w:pPr>
    </w:p>
    <w:p w:rsidR="001870A2" w:rsidRDefault="001870A2" w:rsidP="001870A2">
      <w:pPr>
        <w:spacing w:before="240"/>
      </w:pPr>
    </w:p>
    <w:p w:rsidR="001870A2" w:rsidRDefault="001870A2" w:rsidP="001870A2">
      <w:pPr>
        <w:spacing w:before="240"/>
      </w:pPr>
    </w:p>
    <w:p w:rsidR="001870A2" w:rsidRDefault="001870A2" w:rsidP="001870A2">
      <w:pPr>
        <w:spacing w:before="240"/>
      </w:pPr>
    </w:p>
    <w:p w:rsidR="00BC5C8C" w:rsidRDefault="00BC5C8C" w:rsidP="001870A2">
      <w:pPr>
        <w:spacing w:before="240"/>
      </w:pPr>
      <w:r>
        <w:rPr>
          <w:noProof/>
        </w:rPr>
        <w:lastRenderedPageBreak/>
        <w:drawing>
          <wp:inline distT="0" distB="0" distL="0" distR="0">
            <wp:extent cx="5486400" cy="361950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6400" cy="3619500"/>
                    </a:xfrm>
                    <a:prstGeom prst="rect">
                      <a:avLst/>
                    </a:prstGeom>
                    <a:noFill/>
                    <a:ln w="9525">
                      <a:noFill/>
                      <a:miter lim="800000"/>
                      <a:headEnd/>
                      <a:tailEnd/>
                    </a:ln>
                  </pic:spPr>
                </pic:pic>
              </a:graphicData>
            </a:graphic>
          </wp:inline>
        </w:drawing>
      </w:r>
    </w:p>
    <w:p w:rsidR="00BC5C8C" w:rsidRPr="003E52F5" w:rsidRDefault="0010476C" w:rsidP="00214EC1">
      <w:pPr>
        <w:pStyle w:val="Heading1"/>
        <w:numPr>
          <w:ilvl w:val="0"/>
          <w:numId w:val="31"/>
        </w:numPr>
      </w:pPr>
      <w:r>
        <w:t xml:space="preserve"> </w:t>
      </w:r>
      <w:bookmarkStart w:id="18" w:name="_Toc366488489"/>
      <w:r w:rsidR="00BC5C8C" w:rsidRPr="003E52F5">
        <w:t>Estimate Future Requirements</w:t>
      </w:r>
      <w:bookmarkEnd w:id="18"/>
    </w:p>
    <w:p w:rsidR="00BC5C8C" w:rsidRPr="001870A2" w:rsidRDefault="00BC5C8C" w:rsidP="001870A2">
      <w:pPr>
        <w:autoSpaceDE w:val="0"/>
        <w:autoSpaceDN w:val="0"/>
        <w:adjustRightInd w:val="0"/>
        <w:rPr>
          <w:rFonts w:eastAsia="Times New Roman" w:cs="Arial"/>
          <w:color w:val="0000FF"/>
          <w:sz w:val="22"/>
          <w:szCs w:val="22"/>
        </w:rPr>
      </w:pPr>
      <w:r w:rsidRPr="001870A2">
        <w:rPr>
          <w:rFonts w:eastAsia="Times New Roman" w:cs="Arial"/>
          <w:color w:val="0000FF"/>
          <w:sz w:val="22"/>
          <w:szCs w:val="22"/>
        </w:rPr>
        <w:t>[Future customer requirements determine the system capabilities and architecture, and ultimately affect system costs and benefits. Two items to consider are:</w:t>
      </w:r>
    </w:p>
    <w:p w:rsidR="00BC5C8C" w:rsidRPr="001870A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1870A2">
        <w:rPr>
          <w:rFonts w:eastAsia="Times New Roman" w:cs="Arial"/>
          <w:color w:val="0000FF"/>
          <w:sz w:val="22"/>
          <w:szCs w:val="22"/>
        </w:rPr>
        <w:t>Lifecycle Time—Determine the system lifecycle, or when the system is terminated and replaced by a system with significant changes in processing, operational c</w:t>
      </w:r>
      <w:smartTag w:uri="urn:schemas-microsoft-com:office:smarttags" w:element="PersonName">
        <w:r w:rsidRPr="001870A2">
          <w:rPr>
            <w:rFonts w:eastAsia="Times New Roman" w:cs="Arial"/>
            <w:color w:val="0000FF"/>
            <w:sz w:val="22"/>
            <w:szCs w:val="22"/>
          </w:rPr>
          <w:t>ap</w:t>
        </w:r>
      </w:smartTag>
      <w:r w:rsidRPr="001870A2">
        <w:rPr>
          <w:rFonts w:eastAsia="Times New Roman" w:cs="Arial"/>
          <w:color w:val="0000FF"/>
          <w:sz w:val="22"/>
          <w:szCs w:val="22"/>
        </w:rPr>
        <w:t>abilities, resource requirements, or system outputs. Large, complex systems should have a lifecycle of at least five years, and no more than ten to 12 years.</w:t>
      </w:r>
    </w:p>
    <w:p w:rsidR="00BC5C8C" w:rsidRPr="001870A2" w:rsidRDefault="00BC5C8C" w:rsidP="001870A2">
      <w:pPr>
        <w:numPr>
          <w:ilvl w:val="0"/>
          <w:numId w:val="26"/>
        </w:numPr>
        <w:autoSpaceDE w:val="0"/>
        <w:autoSpaceDN w:val="0"/>
        <w:adjustRightInd w:val="0"/>
        <w:spacing w:line="240" w:lineRule="auto"/>
        <w:ind w:left="720"/>
        <w:rPr>
          <w:rFonts w:eastAsia="Times New Roman" w:cs="Arial"/>
          <w:color w:val="0000FF"/>
          <w:sz w:val="22"/>
          <w:szCs w:val="22"/>
        </w:rPr>
      </w:pPr>
      <w:r w:rsidRPr="001870A2">
        <w:rPr>
          <w:rFonts w:eastAsia="Times New Roman" w:cs="Arial"/>
          <w:color w:val="0000FF"/>
          <w:sz w:val="22"/>
          <w:szCs w:val="22"/>
        </w:rPr>
        <w:t xml:space="preserve">Lifecycle Demands—Identify the most </w:t>
      </w:r>
      <w:smartTag w:uri="urn:schemas-microsoft-com:office:smarttags" w:element="PersonName">
        <w:r w:rsidRPr="001870A2">
          <w:rPr>
            <w:rFonts w:eastAsia="Times New Roman" w:cs="Arial"/>
            <w:color w:val="0000FF"/>
            <w:sz w:val="22"/>
            <w:szCs w:val="22"/>
          </w:rPr>
          <w:t>ap</w:t>
        </w:r>
      </w:smartTag>
      <w:r w:rsidRPr="001870A2">
        <w:rPr>
          <w:rFonts w:eastAsia="Times New Roman" w:cs="Arial"/>
          <w:color w:val="0000FF"/>
          <w:sz w:val="22"/>
          <w:szCs w:val="22"/>
        </w:rPr>
        <w:t>propriate demand measures and use the measures to determine previous year’ demands, calculate the change in demand from year to year, average the demand change, and use the average to make predictions. In a complex situation, more sophisticated tools, such as time-series and regression analysis, may be needed to forecast the future.]</w:t>
      </w:r>
    </w:p>
    <w:p w:rsidR="00BC5C8C" w:rsidRPr="003E52F5" w:rsidRDefault="0010476C" w:rsidP="0064357D">
      <w:pPr>
        <w:pStyle w:val="Heading1"/>
        <w:numPr>
          <w:ilvl w:val="0"/>
          <w:numId w:val="31"/>
        </w:numPr>
      </w:pPr>
      <w:r>
        <w:t xml:space="preserve"> </w:t>
      </w:r>
      <w:bookmarkStart w:id="19" w:name="_Toc366488490"/>
      <w:r w:rsidR="00BC5C8C" w:rsidRPr="003E52F5">
        <w:t>Collect Cost Data</w:t>
      </w:r>
      <w:bookmarkEnd w:id="19"/>
    </w:p>
    <w:p w:rsidR="00BC5C8C" w:rsidRPr="001870A2" w:rsidRDefault="00BC5C8C" w:rsidP="00BC5C8C">
      <w:pPr>
        <w:autoSpaceDE w:val="0"/>
        <w:autoSpaceDN w:val="0"/>
        <w:adjustRightInd w:val="0"/>
        <w:rPr>
          <w:rFonts w:eastAsia="Times New Roman" w:cs="Arial"/>
          <w:color w:val="0000FF"/>
          <w:sz w:val="22"/>
          <w:szCs w:val="22"/>
        </w:rPr>
      </w:pPr>
      <w:r w:rsidRPr="001870A2">
        <w:rPr>
          <w:rFonts w:eastAsia="Times New Roman" w:cs="Arial"/>
          <w:color w:val="0000FF"/>
          <w:sz w:val="22"/>
          <w:szCs w:val="22"/>
        </w:rPr>
        <w:t>[Data can be collected, from the following sources, to estimate the costs of each investment alternative:</w:t>
      </w:r>
    </w:p>
    <w:p w:rsidR="00BC5C8C" w:rsidRPr="001870A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1870A2">
        <w:rPr>
          <w:rFonts w:eastAsia="Times New Roman" w:cs="Arial"/>
          <w:color w:val="0000FF"/>
          <w:sz w:val="22"/>
          <w:szCs w:val="22"/>
        </w:rPr>
        <w:t>Historical Organization Data—If contracts were used to provide system support in the past, they can provide the estimated future cost of leasing and purchasing hardware and hourly rates for contractor personnel. Contracts for other system support services can provide comparable cost data for the development and operation of a new system.</w:t>
      </w:r>
    </w:p>
    <w:p w:rsidR="00BC5C8C" w:rsidRPr="001870A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1870A2">
        <w:rPr>
          <w:rFonts w:eastAsia="Times New Roman" w:cs="Arial"/>
          <w:color w:val="0000FF"/>
          <w:sz w:val="22"/>
          <w:szCs w:val="22"/>
        </w:rPr>
        <w:t>Current System Costs—Current system costs can be used to price similar alternatives.</w:t>
      </w:r>
    </w:p>
    <w:p w:rsidR="00BC5C8C" w:rsidRPr="001870A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1870A2">
        <w:rPr>
          <w:rFonts w:eastAsia="Times New Roman" w:cs="Arial"/>
          <w:color w:val="0000FF"/>
          <w:sz w:val="22"/>
          <w:szCs w:val="22"/>
        </w:rPr>
        <w:t>Market Research—Quotes from multiple sources, such as vendors, Gartner Group, IDC Government, and government-wide agency contracts (GWACS), can provide an average, realistic price.</w:t>
      </w:r>
    </w:p>
    <w:p w:rsidR="00BC5C8C" w:rsidRPr="001870A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1870A2">
        <w:rPr>
          <w:rFonts w:eastAsia="Times New Roman" w:cs="Arial"/>
          <w:color w:val="0000FF"/>
          <w:sz w:val="22"/>
          <w:szCs w:val="22"/>
        </w:rPr>
        <w:t xml:space="preserve">Publications—Trade journals usually conduct annual surveys that provide general cost data for IT personnel. Government cost sources include the General Services Administration (GSA) pricing schedule </w:t>
      </w:r>
      <w:r w:rsidRPr="001870A2">
        <w:rPr>
          <w:rFonts w:eastAsia="Times New Roman" w:cs="Arial"/>
          <w:color w:val="0000FF"/>
          <w:sz w:val="22"/>
          <w:szCs w:val="22"/>
        </w:rPr>
        <w:lastRenderedPageBreak/>
        <w:t>and the OMB Circular A-76, “Performance of Commercial Activities” supplemental listing of inflation and tax rates.</w:t>
      </w:r>
    </w:p>
    <w:p w:rsidR="00BC5C8C" w:rsidRPr="001870A2" w:rsidRDefault="00BC5C8C" w:rsidP="001870A2">
      <w:pPr>
        <w:numPr>
          <w:ilvl w:val="0"/>
          <w:numId w:val="26"/>
        </w:numPr>
        <w:autoSpaceDE w:val="0"/>
        <w:autoSpaceDN w:val="0"/>
        <w:adjustRightInd w:val="0"/>
        <w:spacing w:after="0" w:line="240" w:lineRule="auto"/>
        <w:ind w:left="720"/>
        <w:rPr>
          <w:rFonts w:eastAsia="Times New Roman" w:cs="Arial"/>
          <w:color w:val="0000FF"/>
          <w:sz w:val="22"/>
          <w:szCs w:val="22"/>
        </w:rPr>
      </w:pPr>
      <w:r w:rsidRPr="001870A2">
        <w:rPr>
          <w:rFonts w:eastAsia="Times New Roman" w:cs="Arial"/>
          <w:color w:val="0000FF"/>
          <w:sz w:val="22"/>
          <w:szCs w:val="22"/>
        </w:rPr>
        <w:t>Analyst Judgment—If data is not available to provide an adequate cost estimate, the CBA team members can use judgment and experience to estimate costs. To provide a check against the estimates, discuss estimated costs with other IT professionals.</w:t>
      </w:r>
    </w:p>
    <w:p w:rsidR="00BC5C8C" w:rsidRPr="001870A2" w:rsidRDefault="00BC5C8C" w:rsidP="001870A2">
      <w:pPr>
        <w:numPr>
          <w:ilvl w:val="0"/>
          <w:numId w:val="26"/>
        </w:numPr>
        <w:autoSpaceDE w:val="0"/>
        <w:autoSpaceDN w:val="0"/>
        <w:adjustRightInd w:val="0"/>
        <w:spacing w:line="240" w:lineRule="auto"/>
        <w:ind w:left="720"/>
        <w:rPr>
          <w:rFonts w:eastAsia="Times New Roman" w:cs="Arial"/>
          <w:color w:val="0000FF"/>
          <w:sz w:val="22"/>
          <w:szCs w:val="22"/>
        </w:rPr>
      </w:pPr>
      <w:r w:rsidRPr="001870A2">
        <w:rPr>
          <w:rFonts w:eastAsia="Times New Roman" w:cs="Arial"/>
          <w:color w:val="0000FF"/>
          <w:sz w:val="22"/>
          <w:szCs w:val="22"/>
        </w:rPr>
        <w:t>Special Studies—Special studies can be conducted to collect cost data for large IT investments. For example, the Federal Aviation Administration (FAA) used three different in-house studies to provide costs for software conversion, internal operations, and potential benefits. These data sources became the foundation for a CBA.]</w:t>
      </w:r>
    </w:p>
    <w:p w:rsidR="00BC5C8C" w:rsidRPr="003E52F5" w:rsidRDefault="0010476C" w:rsidP="0064357D">
      <w:pPr>
        <w:pStyle w:val="Heading1"/>
        <w:numPr>
          <w:ilvl w:val="0"/>
          <w:numId w:val="31"/>
        </w:numPr>
      </w:pPr>
      <w:r>
        <w:t xml:space="preserve"> </w:t>
      </w:r>
      <w:bookmarkStart w:id="20" w:name="_Toc366488491"/>
      <w:r w:rsidR="00BC5C8C" w:rsidRPr="003E52F5">
        <w:t>Alternatives</w:t>
      </w:r>
      <w:bookmarkEnd w:id="20"/>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[An Alternatives Analysis should present at least three viable alternatives. “Do nothing” or “Continue current operations” should not be considered as an alternative. Each viable technical approach should be included as an alternative. However, the number of technical approaches may be limited if only one or two are compatible with the architecture or if some approaches are not feasible for reasons other than costs and benefits.]</w:t>
      </w:r>
    </w:p>
    <w:p w:rsidR="00BC5C8C" w:rsidRPr="003E52F5" w:rsidRDefault="0010476C" w:rsidP="0064357D">
      <w:pPr>
        <w:pStyle w:val="Heading1"/>
        <w:numPr>
          <w:ilvl w:val="0"/>
          <w:numId w:val="31"/>
        </w:numPr>
      </w:pPr>
      <w:r>
        <w:t xml:space="preserve"> </w:t>
      </w:r>
      <w:bookmarkStart w:id="21" w:name="_Toc366488492"/>
      <w:r w:rsidR="00BC5C8C" w:rsidRPr="003E52F5">
        <w:t>Document Alternatives and Cost Benefit Analysis Assumptions</w:t>
      </w:r>
      <w:bookmarkEnd w:id="21"/>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[It is important to document all assumptions and, if possible, justify them on the basis of prior experiences or actual data. This can be an opportunity to explain why some alternatives are not included. If an alternative is eliminated because it is not feasible, the assumption should be clearly explained and justified.]</w:t>
      </w:r>
    </w:p>
    <w:p w:rsidR="00BC5C8C" w:rsidRPr="003E52F5" w:rsidRDefault="0010476C" w:rsidP="0064357D">
      <w:pPr>
        <w:pStyle w:val="Heading1"/>
        <w:numPr>
          <w:ilvl w:val="0"/>
          <w:numId w:val="31"/>
        </w:numPr>
      </w:pPr>
      <w:r>
        <w:t xml:space="preserve"> </w:t>
      </w:r>
      <w:bookmarkStart w:id="22" w:name="_Toc366488493"/>
      <w:r w:rsidR="00BC5C8C" w:rsidRPr="003E52F5">
        <w:t>Estimate Costs</w:t>
      </w:r>
      <w:bookmarkEnd w:id="22"/>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[Many factors should be considered during the process of estimating costs for alternatives. Full lifecycle costs for each competing alternative should be included, and the following factors should be addressed:</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Activities and Resources—Identify and estimate the costs associated with the initiation, design, development, operation, and maintenance of the IT system.</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Cost Categories—Identify costs in a way that relates to the budget and accounting processes. The cost categories should follow current USDA object class codes.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Personnel Costs—Personnel costs are based on the guidance in OMB Circular A-76, “Supplemental Handbook, PART II—Preparing the Cost Comparison Estimates.” Government personnel costs include current salary by location and grade, fringe benefit factors, indirect or overhead costs, and General and Administrative costs.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Depreciation—The cost of each tangible c</w:t>
      </w:r>
      <w:smartTag w:uri="urn:schemas-microsoft-com:office:smarttags" w:element="PersonName">
        <w:r w:rsidRPr="003A7E59">
          <w:rPr>
            <w:rFonts w:eastAsia="Times New Roman" w:cs="Arial"/>
            <w:color w:val="0000FF"/>
            <w:sz w:val="22"/>
            <w:szCs w:val="22"/>
          </w:rPr>
          <w:t>ap</w:t>
        </w:r>
      </w:smartTag>
      <w:r w:rsidRPr="003A7E59">
        <w:rPr>
          <w:rFonts w:eastAsia="Times New Roman" w:cs="Arial"/>
          <w:color w:val="0000FF"/>
          <w:sz w:val="22"/>
          <w:szCs w:val="22"/>
        </w:rPr>
        <w:t>ital asset should be spread over the asset’s useful life (i.e., the number of years it will function as designed). OMB prefers that straight-line depreciation be used for c</w:t>
      </w:r>
      <w:smartTag w:uri="urn:schemas-microsoft-com:office:smarttags" w:element="PersonName">
        <w:r w:rsidRPr="003A7E59">
          <w:rPr>
            <w:rFonts w:eastAsia="Times New Roman" w:cs="Arial"/>
            <w:color w:val="0000FF"/>
            <w:sz w:val="22"/>
            <w:szCs w:val="22"/>
          </w:rPr>
          <w:t>ap</w:t>
        </w:r>
      </w:smartTag>
      <w:r w:rsidRPr="003A7E59">
        <w:rPr>
          <w:rFonts w:eastAsia="Times New Roman" w:cs="Arial"/>
          <w:color w:val="0000FF"/>
          <w:sz w:val="22"/>
          <w:szCs w:val="22"/>
        </w:rPr>
        <w:t>ital assets.</w:t>
      </w:r>
    </w:p>
    <w:p w:rsidR="00BC5C8C" w:rsidRPr="003A7E59" w:rsidRDefault="00BC5C8C" w:rsidP="003A7E59">
      <w:pPr>
        <w:numPr>
          <w:ilvl w:val="0"/>
          <w:numId w:val="26"/>
        </w:numPr>
        <w:autoSpaceDE w:val="0"/>
        <w:autoSpaceDN w:val="0"/>
        <w:adjustRightInd w:val="0"/>
        <w:spacing w:line="240" w:lineRule="auto"/>
        <w:ind w:left="720"/>
        <w:rPr>
          <w:rFonts w:eastAsia="Times New Roman" w:cs="Arial"/>
          <w:color w:val="0000FF"/>
          <w:sz w:val="22"/>
          <w:szCs w:val="22"/>
        </w:rPr>
      </w:pPr>
      <w:r w:rsidRPr="003A7E59">
        <w:rPr>
          <w:rFonts w:eastAsia="Times New Roman" w:cs="Arial"/>
          <w:color w:val="0000FF"/>
          <w:sz w:val="22"/>
          <w:szCs w:val="22"/>
        </w:rPr>
        <w:t>Annual Costs—All cost elements should be identified and estimated for each year of the system lifecycle. This is necessary for planning and budget considerations Table E-3—illustrates the cost estimates for an investment initiation activity.]</w:t>
      </w:r>
    </w:p>
    <w:p w:rsidR="00BC5C8C" w:rsidRDefault="00BC5C8C" w:rsidP="00BC5C8C">
      <w:pPr>
        <w:rPr>
          <w:rFonts w:ascii="Arial" w:hAnsi="Arial" w:cs="Arial"/>
          <w:color w:val="000000"/>
          <w:sz w:val="20"/>
          <w:szCs w:val="20"/>
        </w:rPr>
      </w:pPr>
    </w:p>
    <w:p w:rsidR="003A7E59" w:rsidRDefault="003A7E59" w:rsidP="00BC5C8C">
      <w:pPr>
        <w:rPr>
          <w:rFonts w:ascii="Arial" w:hAnsi="Arial" w:cs="Arial"/>
          <w:color w:val="000000"/>
          <w:sz w:val="20"/>
          <w:szCs w:val="20"/>
        </w:rPr>
      </w:pPr>
    </w:p>
    <w:p w:rsidR="003A7E59" w:rsidRDefault="003A7E59" w:rsidP="00BC5C8C">
      <w:pPr>
        <w:rPr>
          <w:rFonts w:ascii="Arial" w:hAnsi="Arial" w:cs="Arial"/>
          <w:color w:val="000000"/>
          <w:sz w:val="20"/>
          <w:szCs w:val="20"/>
        </w:rPr>
      </w:pPr>
    </w:p>
    <w:p w:rsidR="003A7E59" w:rsidRDefault="003A7E59" w:rsidP="00BC5C8C">
      <w:pPr>
        <w:rPr>
          <w:rFonts w:ascii="Arial" w:hAnsi="Arial" w:cs="Arial"/>
          <w:color w:val="000000"/>
          <w:sz w:val="20"/>
          <w:szCs w:val="20"/>
        </w:rPr>
      </w:pPr>
    </w:p>
    <w:p w:rsidR="00BC5C8C" w:rsidRDefault="00BC5C8C" w:rsidP="00BC5C8C">
      <w:r>
        <w:rPr>
          <w:noProof/>
        </w:rPr>
        <w:lastRenderedPageBreak/>
        <w:drawing>
          <wp:inline distT="0" distB="0" distL="0" distR="0">
            <wp:extent cx="5438775" cy="2733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38775" cy="2733675"/>
                    </a:xfrm>
                    <a:prstGeom prst="rect">
                      <a:avLst/>
                    </a:prstGeom>
                    <a:noFill/>
                    <a:ln w="9525">
                      <a:noFill/>
                      <a:miter lim="800000"/>
                      <a:headEnd/>
                      <a:tailEnd/>
                    </a:ln>
                  </pic:spPr>
                </pic:pic>
              </a:graphicData>
            </a:graphic>
          </wp:inline>
        </w:drawing>
      </w:r>
    </w:p>
    <w:p w:rsidR="00BC5C8C" w:rsidRPr="003A7E59" w:rsidRDefault="00BC5C8C" w:rsidP="003A7E59">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[The costs for each year can be added to provide the estimated annual costs over the investment’s life. For example, Table E-4—Sample System Lifecycle Cost Estimates provides the total estimated costs for a 10-year investment. In the first year, in-house staff and contractors define the problem, evaluate the work process, define processing requirements, prepare the CBA, develop a request for proposals (RFP), and issue a contract for the system development. In the second year, a contractor designs and implements the system. The next eight years reflect operational and maintenance costs for equipment, software, in-house personnel, and contractor personnel. Years five and six also reflect in-house acquisition costs for establishing a new five-year contract for system maintenance and help desk support.]</w:t>
      </w:r>
    </w:p>
    <w:p w:rsidR="00BC5C8C" w:rsidRDefault="00BC5C8C" w:rsidP="00BC5C8C">
      <w:r>
        <w:rPr>
          <w:noProof/>
        </w:rPr>
        <w:drawing>
          <wp:inline distT="0" distB="0" distL="0" distR="0">
            <wp:extent cx="5438775" cy="26955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438775" cy="2695575"/>
                    </a:xfrm>
                    <a:prstGeom prst="rect">
                      <a:avLst/>
                    </a:prstGeom>
                    <a:noFill/>
                    <a:ln w="9525">
                      <a:noFill/>
                      <a:miter lim="800000"/>
                      <a:headEnd/>
                      <a:tailEnd/>
                    </a:ln>
                  </pic:spPr>
                </pic:pic>
              </a:graphicData>
            </a:graphic>
          </wp:inline>
        </w:drawing>
      </w:r>
    </w:p>
    <w:p w:rsidR="00BC5C8C" w:rsidRPr="00F315E3" w:rsidRDefault="0010476C" w:rsidP="0064357D">
      <w:pPr>
        <w:pStyle w:val="Heading1"/>
        <w:numPr>
          <w:ilvl w:val="0"/>
          <w:numId w:val="31"/>
        </w:numPr>
      </w:pPr>
      <w:r>
        <w:t xml:space="preserve"> </w:t>
      </w:r>
      <w:bookmarkStart w:id="23" w:name="_Toc366488494"/>
      <w:r w:rsidR="00BC5C8C" w:rsidRPr="00F315E3">
        <w:t>Estimate Benefits</w:t>
      </w:r>
      <w:bookmarkEnd w:id="23"/>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[The following six activities are completed to identify and estimate the value of benefits:</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lastRenderedPageBreak/>
        <w:t>Define Benefits—Benefits are the services, capabilities, and qualities of each alternative, and can be viewed as the return from an investment. The following questions will help define benefits for IT systems and enable alternative comparisons: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Accuracy—Will the system improve accuracy by reducing data entry errors?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Availability—How long will it take to develop and implement the system?</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Compatibility—How compatible is the proposed alternative with existing procedures?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Efficiency—Will one alternative provide faster or more accurate processing?</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Maintainability—Will one alternative have lower maintenance costs?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Modularity—Will one alternative have more modular software components?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Reliability—Does one alternative provide greater hardware or software reliability?</w:t>
      </w:r>
    </w:p>
    <w:p w:rsidR="00BC5C8C" w:rsidRPr="003A7E59" w:rsidRDefault="00BC5C8C" w:rsidP="003A7E59">
      <w:pPr>
        <w:numPr>
          <w:ilvl w:val="0"/>
          <w:numId w:val="26"/>
        </w:numPr>
        <w:autoSpaceDE w:val="0"/>
        <w:autoSpaceDN w:val="0"/>
        <w:adjustRightInd w:val="0"/>
        <w:spacing w:line="240" w:lineRule="auto"/>
        <w:ind w:left="720"/>
        <w:rPr>
          <w:rFonts w:eastAsia="Times New Roman" w:cs="Arial"/>
          <w:color w:val="0000FF"/>
          <w:sz w:val="22"/>
          <w:szCs w:val="22"/>
        </w:rPr>
      </w:pPr>
      <w:r w:rsidRPr="003A7E59">
        <w:rPr>
          <w:rFonts w:eastAsia="Times New Roman" w:cs="Arial"/>
          <w:color w:val="0000FF"/>
          <w:sz w:val="22"/>
          <w:szCs w:val="22"/>
        </w:rPr>
        <w:t>Security—Does one alternative provide better security to prevent fraud, waste, or abuse?</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Identify Benefits—Every proposed IT system should have identifiable benefits for both the organization and its customers. Organizational benefits could include flexibility, organizational strategy, risk management and control, organizational changes, and staffing impacts. Customer benefits could include improvements to the current IT services and the addition of new services. Customers should help identify and determine how to measure and evaluate the benefits.</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Establish Measurement Criteria—Establishing measurement criteria for benefits is crucial because the Government Performance and Results Act (GPRA) and the Clinger-Cohen Act (CCA) emphasize tangible measures of success (benefits) related to the organization’s overall mission and goals. See Appendix G— Performance Measurement for guidance on how to develop performance measures.</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Classify Benefits—Benefits that are “capable of being appraised at an actual or approximate value” are called tangible benefits. Benefits that cannot be assigned a dollar value are called intangible benefits.</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Estimate Tangible Benefits—The dollar value of benefits can be estimated by determining the fair market value of the benefits. An important economic principle used in estimating public benefits is the market value concept. Market value is the price that a private sector organization would pay to purchase a product or service</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Quantify Intangible Benefits—Intangible benefits can be quantified using a subjective, qualitative rating system. A qualitative rating system might evaluate potential benefits against the following:</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Provides Maximum Benefits (2 points)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Provides Some Benefits (1 point)</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Provides No Benefits (0 points)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Provides Some Negative Benefits (-1 point)</w:t>
      </w:r>
    </w:p>
    <w:p w:rsidR="003A7E59" w:rsidRPr="00982B5E" w:rsidRDefault="00BC5C8C" w:rsidP="00982B5E">
      <w:pPr>
        <w:numPr>
          <w:ilvl w:val="0"/>
          <w:numId w:val="26"/>
        </w:numPr>
        <w:autoSpaceDE w:val="0"/>
        <w:autoSpaceDN w:val="0"/>
        <w:adjustRightInd w:val="0"/>
        <w:spacing w:line="240" w:lineRule="auto"/>
        <w:ind w:left="720"/>
        <w:rPr>
          <w:rFonts w:eastAsia="Times New Roman" w:cs="Arial"/>
          <w:color w:val="0000FF"/>
          <w:sz w:val="22"/>
          <w:szCs w:val="22"/>
        </w:rPr>
      </w:pPr>
      <w:r w:rsidRPr="003A7E59">
        <w:rPr>
          <w:rFonts w:eastAsia="Times New Roman" w:cs="Arial"/>
          <w:color w:val="0000FF"/>
          <w:sz w:val="22"/>
          <w:szCs w:val="22"/>
        </w:rPr>
        <w:t xml:space="preserve">Provides Maximum Negative </w:t>
      </w:r>
      <w:r w:rsidR="003A7E59">
        <w:rPr>
          <w:rFonts w:eastAsia="Times New Roman" w:cs="Arial"/>
          <w:color w:val="0000FF"/>
          <w:sz w:val="22"/>
          <w:szCs w:val="22"/>
        </w:rPr>
        <w:t>Benefits (-2 points)</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Once the rating system is selected, each benefit is evaluated for each alternative. This should be done by a group of three to five individuals familiar with the current IT system and the alternatives being evaluated. The numerical values assigned to the ratings then can be summed and averaged to obtain a score for each benefit. Table E-5—shows the scores for benefits A to D from four reviewers using a scale of 1 to 5.]</w:t>
      </w:r>
    </w:p>
    <w:p w:rsidR="00BC5C8C" w:rsidRDefault="00BC5C8C" w:rsidP="00BC5C8C">
      <w:r>
        <w:rPr>
          <w:noProof/>
        </w:rPr>
        <w:lastRenderedPageBreak/>
        <w:drawing>
          <wp:inline distT="0" distB="0" distL="0" distR="0">
            <wp:extent cx="5467350" cy="1990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467350" cy="1990725"/>
                    </a:xfrm>
                    <a:prstGeom prst="rect">
                      <a:avLst/>
                    </a:prstGeom>
                    <a:noFill/>
                    <a:ln w="9525">
                      <a:noFill/>
                      <a:miter lim="800000"/>
                      <a:headEnd/>
                      <a:tailEnd/>
                    </a:ln>
                  </pic:spPr>
                </pic:pic>
              </a:graphicData>
            </a:graphic>
          </wp:inline>
        </w:drawing>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[An option that can be used in a qualitative assessment is to “weight” each benefit criteria with regard to importance. The more important the benefit, the higher the weight. The advantage of weighting is the more important benefits have a greater influence on the benefit analysis outcome. The weighting scale can vary between any two predetermined high and low weights. An example of calculating a weighted score is provided in Table E-6—and demonstrates using weighting factors makes Alternative 1 the clear winner.]</w:t>
      </w:r>
    </w:p>
    <w:p w:rsidR="00BC5C8C" w:rsidRPr="009903D0" w:rsidRDefault="00B554B7" w:rsidP="0064357D">
      <w:pPr>
        <w:pStyle w:val="Heading1"/>
        <w:numPr>
          <w:ilvl w:val="0"/>
          <w:numId w:val="31"/>
        </w:numPr>
      </w:pPr>
      <w:r w:rsidRPr="009903D0">
        <w:t xml:space="preserve"> </w:t>
      </w:r>
      <w:bookmarkStart w:id="24" w:name="_Toc366488495"/>
      <w:r w:rsidR="00BC5C8C" w:rsidRPr="009903D0">
        <w:t>Discount Costs and Benefits</w:t>
      </w:r>
      <w:bookmarkEnd w:id="24"/>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[After costs and benefits for each system lifecycle year have been identified, convert them to a common measurement unit by discounting future dollar values and transforming future benefits and costs to their “present value.” Present values are calculated by multiplying the future value times the discount factors published in the OMB Circular A-94.]</w:t>
      </w:r>
    </w:p>
    <w:p w:rsidR="00BC5C8C" w:rsidRDefault="00BC5C8C" w:rsidP="00BC5C8C">
      <w:r>
        <w:rPr>
          <w:noProof/>
        </w:rPr>
        <w:drawing>
          <wp:inline distT="0" distB="0" distL="0" distR="0">
            <wp:extent cx="5486400" cy="23907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486400" cy="2390775"/>
                    </a:xfrm>
                    <a:prstGeom prst="rect">
                      <a:avLst/>
                    </a:prstGeom>
                    <a:noFill/>
                    <a:ln w="9525">
                      <a:noFill/>
                      <a:miter lim="800000"/>
                      <a:headEnd/>
                      <a:tailEnd/>
                    </a:ln>
                  </pic:spPr>
                </pic:pic>
              </a:graphicData>
            </a:graphic>
          </wp:inline>
        </w:drawing>
      </w:r>
    </w:p>
    <w:p w:rsidR="003A7E59" w:rsidRPr="003A7E59" w:rsidRDefault="00BC5C8C" w:rsidP="00BC5C8C">
      <w:pPr>
        <w:autoSpaceDE w:val="0"/>
        <w:autoSpaceDN w:val="0"/>
        <w:adjustRightInd w:val="0"/>
        <w:rPr>
          <w:rFonts w:cs="Arial"/>
          <w:color w:val="0000FF"/>
          <w:sz w:val="22"/>
          <w:szCs w:val="22"/>
        </w:rPr>
      </w:pPr>
      <w:r w:rsidRPr="003A7E59">
        <w:rPr>
          <w:rFonts w:eastAsia="Times New Roman" w:cs="Arial"/>
          <w:color w:val="0000FF"/>
          <w:sz w:val="22"/>
          <w:szCs w:val="22"/>
        </w:rPr>
        <w:t>[Table E-7—shows annual costs and benefits for a system lifecycle, along with the discount factor, the discounted costs and benefits (present values), and the discounted net present value [NPV]. The discounted costs and benefits are computed by multiplying costs and benefits by the discount factor. The net benefit without discounting is $380,000 ($3,200,000 minus $2,820,000) while the discounted NPV is less than $60,000 because the biggest costs are incurred in the first two years, while the benefits are not accrued until the third year. When evaluating costs and benefits, be cautious of returns that accrue late in the investment’s lifecycle. Due to discounting, benefits that accrue in later years do not offset costs as much as earlier-year benefits. Also, these</w:t>
      </w:r>
      <w:r w:rsidRPr="003A7E59">
        <w:rPr>
          <w:rFonts w:cs="Arial"/>
          <w:color w:val="0000FF"/>
          <w:sz w:val="22"/>
          <w:szCs w:val="22"/>
        </w:rPr>
        <w:t xml:space="preserve"> later-year benefits are less certain. </w:t>
      </w:r>
      <w:r w:rsidRPr="003A7E59">
        <w:rPr>
          <w:rFonts w:cs="Arial"/>
          <w:color w:val="0000FF"/>
          <w:sz w:val="22"/>
          <w:szCs w:val="22"/>
        </w:rPr>
        <w:lastRenderedPageBreak/>
        <w:t>Both the business and IT environments may experience significant changes before these later-year benefits are realized.]</w:t>
      </w:r>
    </w:p>
    <w:p w:rsidR="00BC5C8C" w:rsidRDefault="00BC5C8C" w:rsidP="00BC5C8C">
      <w:r>
        <w:rPr>
          <w:noProof/>
        </w:rPr>
        <w:drawing>
          <wp:inline distT="0" distB="0" distL="0" distR="0">
            <wp:extent cx="5419725" cy="2828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419725" cy="2828925"/>
                    </a:xfrm>
                    <a:prstGeom prst="rect">
                      <a:avLst/>
                    </a:prstGeom>
                    <a:noFill/>
                    <a:ln w="9525">
                      <a:noFill/>
                      <a:miter lim="800000"/>
                      <a:headEnd/>
                      <a:tailEnd/>
                    </a:ln>
                  </pic:spPr>
                </pic:pic>
              </a:graphicData>
            </a:graphic>
          </wp:inline>
        </w:drawing>
      </w:r>
    </w:p>
    <w:p w:rsidR="00BC5C8C" w:rsidRPr="009903D0" w:rsidRDefault="00BC5C8C" w:rsidP="0064357D">
      <w:pPr>
        <w:pStyle w:val="Heading1"/>
        <w:numPr>
          <w:ilvl w:val="0"/>
          <w:numId w:val="31"/>
        </w:numPr>
      </w:pPr>
      <w:bookmarkStart w:id="25" w:name="_Toc366488496"/>
      <w:r w:rsidRPr="009903D0">
        <w:t>Evaluate Alternatives</w:t>
      </w:r>
      <w:bookmarkEnd w:id="25"/>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[Many benefits cannot be quantified in dollar terms. As a result, evaluating alternatives cannot always be done using present values, but valid evaluations can be made using a combination of dollar values and quantified relative values (values that are numeric, but do not represent dollar values).</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Evaluate All Dollar Values—Once all the costs and benefits for each competing alternative have been assigned dollar values and discounted, the NPV of the alternatives should be compared and ranked.</w:t>
      </w:r>
    </w:p>
    <w:p w:rsidR="00BC5C8C" w:rsidRPr="003A7E59" w:rsidRDefault="00BC5C8C" w:rsidP="003A7E59">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When the alternative with the lowest discounted cost provides the highest discounted benefit, it is the clear winner, as shown in Table E-8.]</w:t>
      </w:r>
    </w:p>
    <w:p w:rsidR="00BC5C8C" w:rsidRDefault="00BC5C8C" w:rsidP="00BC5C8C">
      <w:r>
        <w:rPr>
          <w:noProof/>
        </w:rPr>
        <w:drawing>
          <wp:inline distT="0" distB="0" distL="0" distR="0">
            <wp:extent cx="5334000" cy="1790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334000" cy="1790700"/>
                    </a:xfrm>
                    <a:prstGeom prst="rect">
                      <a:avLst/>
                    </a:prstGeom>
                    <a:noFill/>
                    <a:ln w="9525">
                      <a:noFill/>
                      <a:miter lim="800000"/>
                      <a:headEnd/>
                      <a:tailEnd/>
                    </a:ln>
                  </pic:spPr>
                </pic:pic>
              </a:graphicData>
            </a:graphic>
          </wp:inline>
        </w:drawing>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Discounted Net—There will probably be very few cases where the alternative with the lowest discounted cost provides the highest discounted benefit. The next number to consider is the Discounted Net (Discounted Benefit minus Discounted Cost). If one alternative clearly has the highest Discounted Net, it is considered the best alternative; however, it is usually advisable to look at other factors.</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lastRenderedPageBreak/>
        <w:t>Benefit-Cost Ratio—When the alternative with the highest discounted net is not a clear winner, the benefit-cost ratio or BCR (discounted benefit divided by discounted cost) may be used to differentiate between alternatives with very similar or equal Discounted</w:t>
      </w:r>
      <w:r w:rsidRPr="003A7E59">
        <w:rPr>
          <w:rFonts w:cs="Arial"/>
          <w:color w:val="0000FF"/>
          <w:sz w:val="22"/>
          <w:szCs w:val="22"/>
        </w:rPr>
        <w:t xml:space="preserve"> Nets. In Table E-9— Alternative 4 would be the winner because it </w:t>
      </w:r>
      <w:r w:rsidRPr="003A7E59">
        <w:rPr>
          <w:rFonts w:eastAsia="Times New Roman" w:cs="Arial"/>
          <w:color w:val="0000FF"/>
          <w:sz w:val="22"/>
          <w:szCs w:val="22"/>
        </w:rPr>
        <w:t>has a higher BCR than Alternative 5. Alternatives 4 and 5 are clearly superior to other alternatives because they have the highest discounted net.</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Evaluate With Intangible Benefits—When all the benefits are intangible, evaluation will be based on quantifying relative benefits.]</w:t>
      </w:r>
    </w:p>
    <w:p w:rsidR="00BC5C8C" w:rsidRDefault="00BC5C8C" w:rsidP="00BC5C8C">
      <w:r>
        <w:rPr>
          <w:noProof/>
        </w:rPr>
        <w:drawing>
          <wp:inline distT="0" distB="0" distL="0" distR="0">
            <wp:extent cx="5267325" cy="2095500"/>
            <wp:effectExtent l="1905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267325" cy="2095500"/>
                    </a:xfrm>
                    <a:prstGeom prst="rect">
                      <a:avLst/>
                    </a:prstGeom>
                    <a:noFill/>
                    <a:ln w="9525">
                      <a:noFill/>
                      <a:miter lim="800000"/>
                      <a:headEnd/>
                      <a:tailEnd/>
                    </a:ln>
                  </pic:spPr>
                </pic:pic>
              </a:graphicData>
            </a:graphic>
          </wp:inline>
        </w:drawing>
      </w:r>
    </w:p>
    <w:p w:rsidR="00BC5C8C" w:rsidRPr="009903D0" w:rsidRDefault="00B554B7" w:rsidP="0064357D">
      <w:pPr>
        <w:pStyle w:val="Heading1"/>
        <w:numPr>
          <w:ilvl w:val="0"/>
          <w:numId w:val="31"/>
        </w:numPr>
      </w:pPr>
      <w:r w:rsidRPr="009903D0">
        <w:t xml:space="preserve"> </w:t>
      </w:r>
      <w:bookmarkStart w:id="26" w:name="_Toc366488497"/>
      <w:r w:rsidR="00BC5C8C" w:rsidRPr="009903D0">
        <w:t>Perform Sensitivity Analysis</w:t>
      </w:r>
      <w:bookmarkEnd w:id="26"/>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[Sensitivity analysis tests the sensitivity of input parameters and the reliability of the CBA result. Sensitivity analysis should assure reviewers the CBA provides a sound basis for decisions. The sensitivity analysis process requires the following:</w:t>
      </w:r>
    </w:p>
    <w:p w:rsidR="00BC5C8C" w:rsidRPr="003A7E59"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Identify Input Parameters—The assumptions documented earlier in the CBA are used to identify the model inputs to test for sensitivity. Good inputs to test are those that have significant (large) cost factors and a wide range of maximum and minimum estimated values. Some common parameters include:</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System requirement definition costs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System development costs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System operation costs</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Transition costs, especially software conversion</w:t>
      </w:r>
    </w:p>
    <w:p w:rsidR="00BC5C8C" w:rsidRPr="003A7E59" w:rsidRDefault="00BC5C8C" w:rsidP="003A7E59">
      <w:pPr>
        <w:numPr>
          <w:ilvl w:val="0"/>
          <w:numId w:val="26"/>
        </w:numPr>
        <w:autoSpaceDE w:val="0"/>
        <w:autoSpaceDN w:val="0"/>
        <w:adjustRightInd w:val="0"/>
        <w:spacing w:after="0" w:line="240" w:lineRule="auto"/>
        <w:ind w:left="720"/>
        <w:rPr>
          <w:rFonts w:eastAsia="Times New Roman" w:cs="Arial"/>
          <w:color w:val="0000FF"/>
          <w:sz w:val="22"/>
          <w:szCs w:val="22"/>
        </w:rPr>
      </w:pPr>
      <w:r w:rsidRPr="003A7E59">
        <w:rPr>
          <w:rFonts w:eastAsia="Times New Roman" w:cs="Arial"/>
          <w:color w:val="0000FF"/>
          <w:sz w:val="22"/>
          <w:szCs w:val="22"/>
        </w:rPr>
        <w:t>System lifecycle</w:t>
      </w:r>
    </w:p>
    <w:p w:rsidR="00BC5C8C" w:rsidRPr="003A7E59" w:rsidRDefault="00BC5C8C" w:rsidP="003A7E59">
      <w:pPr>
        <w:numPr>
          <w:ilvl w:val="0"/>
          <w:numId w:val="26"/>
        </w:numPr>
        <w:autoSpaceDE w:val="0"/>
        <w:autoSpaceDN w:val="0"/>
        <w:adjustRightInd w:val="0"/>
        <w:spacing w:line="240" w:lineRule="auto"/>
        <w:ind w:left="720"/>
        <w:rPr>
          <w:rFonts w:eastAsia="Times New Roman" w:cs="Arial"/>
          <w:color w:val="0000FF"/>
          <w:sz w:val="22"/>
          <w:szCs w:val="22"/>
        </w:rPr>
      </w:pPr>
      <w:r w:rsidRPr="003A7E59">
        <w:rPr>
          <w:rFonts w:eastAsia="Times New Roman" w:cs="Arial"/>
          <w:color w:val="0000FF"/>
          <w:sz w:val="22"/>
          <w:szCs w:val="22"/>
        </w:rPr>
        <w:t>Peak system demands.</w:t>
      </w:r>
    </w:p>
    <w:p w:rsidR="00BC5C8C" w:rsidRDefault="00BC5C8C" w:rsidP="00BC5C8C">
      <w:pPr>
        <w:autoSpaceDE w:val="0"/>
        <w:autoSpaceDN w:val="0"/>
        <w:adjustRightInd w:val="0"/>
        <w:rPr>
          <w:rFonts w:eastAsia="Times New Roman" w:cs="Arial"/>
          <w:color w:val="0000FF"/>
          <w:sz w:val="22"/>
          <w:szCs w:val="22"/>
        </w:rPr>
      </w:pPr>
      <w:r w:rsidRPr="003A7E59">
        <w:rPr>
          <w:rFonts w:eastAsia="Times New Roman" w:cs="Arial"/>
          <w:color w:val="0000FF"/>
          <w:sz w:val="22"/>
          <w:szCs w:val="22"/>
        </w:rPr>
        <w:t>Repeat the Cost Analysis—For each parameter identified, determine the minimum and maximum values. Then, choose either the minimum or maximum value as the new parameter value (the number selected should be the one that most differs from the value used in the original analysis). Repeat the CBA with the new parameter value and document the results. Prepare a table like Table E-10—to summarize the different outcomes and enable the results to be quickly evaluated.]</w:t>
      </w:r>
    </w:p>
    <w:p w:rsidR="00982B5E" w:rsidRDefault="00982B5E" w:rsidP="00BC5C8C">
      <w:pPr>
        <w:autoSpaceDE w:val="0"/>
        <w:autoSpaceDN w:val="0"/>
        <w:adjustRightInd w:val="0"/>
        <w:rPr>
          <w:rFonts w:eastAsia="Times New Roman" w:cs="Arial"/>
          <w:color w:val="0000FF"/>
          <w:sz w:val="22"/>
          <w:szCs w:val="22"/>
        </w:rPr>
      </w:pPr>
    </w:p>
    <w:p w:rsidR="00982B5E" w:rsidRDefault="00982B5E" w:rsidP="00BC5C8C">
      <w:pPr>
        <w:autoSpaceDE w:val="0"/>
        <w:autoSpaceDN w:val="0"/>
        <w:adjustRightInd w:val="0"/>
        <w:rPr>
          <w:rFonts w:eastAsia="Times New Roman" w:cs="Arial"/>
          <w:color w:val="0000FF"/>
          <w:sz w:val="22"/>
          <w:szCs w:val="22"/>
        </w:rPr>
      </w:pPr>
    </w:p>
    <w:p w:rsidR="00982B5E" w:rsidRDefault="00982B5E" w:rsidP="00BC5C8C">
      <w:pPr>
        <w:autoSpaceDE w:val="0"/>
        <w:autoSpaceDN w:val="0"/>
        <w:adjustRightInd w:val="0"/>
        <w:rPr>
          <w:rFonts w:eastAsia="Times New Roman" w:cs="Arial"/>
          <w:color w:val="0000FF"/>
          <w:sz w:val="22"/>
          <w:szCs w:val="22"/>
        </w:rPr>
      </w:pPr>
    </w:p>
    <w:p w:rsidR="00982B5E" w:rsidRDefault="00256659" w:rsidP="00BC5C8C">
      <w:pPr>
        <w:autoSpaceDE w:val="0"/>
        <w:autoSpaceDN w:val="0"/>
        <w:adjustRightInd w:val="0"/>
        <w:rPr>
          <w:rFonts w:eastAsia="Times New Roman" w:cs="Arial"/>
          <w:color w:val="0000FF"/>
          <w:sz w:val="22"/>
          <w:szCs w:val="22"/>
        </w:rPr>
      </w:pPr>
      <w:r>
        <w:rPr>
          <w:noProof/>
        </w:rPr>
        <w:drawing>
          <wp:inline distT="0" distB="0" distL="0" distR="0">
            <wp:extent cx="3438525" cy="2790825"/>
            <wp:effectExtent l="19050" t="0" r="952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438525" cy="2790825"/>
                    </a:xfrm>
                    <a:prstGeom prst="rect">
                      <a:avLst/>
                    </a:prstGeom>
                    <a:noFill/>
                    <a:ln w="9525">
                      <a:noFill/>
                      <a:miter lim="800000"/>
                      <a:headEnd/>
                      <a:tailEnd/>
                    </a:ln>
                  </pic:spPr>
                </pic:pic>
              </a:graphicData>
            </a:graphic>
          </wp:inline>
        </w:drawing>
      </w:r>
    </w:p>
    <w:p w:rsidR="00BC5C8C" w:rsidRPr="00982B5E" w:rsidRDefault="00BC5C8C" w:rsidP="00BC5C8C">
      <w:pPr>
        <w:autoSpaceDE w:val="0"/>
        <w:autoSpaceDN w:val="0"/>
        <w:adjustRightInd w:val="0"/>
        <w:rPr>
          <w:rFonts w:cs="Arial"/>
          <w:color w:val="0000FF"/>
          <w:sz w:val="22"/>
          <w:szCs w:val="22"/>
        </w:rPr>
      </w:pPr>
      <w:r w:rsidRPr="00982B5E">
        <w:rPr>
          <w:rFonts w:cs="Arial"/>
          <w:color w:val="0000FF"/>
          <w:sz w:val="22"/>
          <w:szCs w:val="22"/>
        </w:rPr>
        <w:t>[Evaluate Results—Compare the original set of inputs and the resulting outcomes to the outcomes obtained by varying the input parameters. In the previous table, the original values are the first value listed for each parameter. Sensitivity is measured by how much change in a parameter is required to change the alternative selected in the original analysis. The sensitivity guidelines include the following:</w:t>
      </w:r>
    </w:p>
    <w:p w:rsidR="00BC5C8C" w:rsidRPr="00982B5E" w:rsidRDefault="00BC5C8C" w:rsidP="00982B5E">
      <w:pPr>
        <w:numPr>
          <w:ilvl w:val="0"/>
          <w:numId w:val="26"/>
        </w:numPr>
        <w:autoSpaceDE w:val="0"/>
        <w:autoSpaceDN w:val="0"/>
        <w:adjustRightInd w:val="0"/>
        <w:spacing w:after="0" w:line="240" w:lineRule="auto"/>
        <w:ind w:left="720"/>
        <w:rPr>
          <w:rFonts w:eastAsia="Times New Roman" w:cs="Arial"/>
          <w:color w:val="0000FF"/>
          <w:sz w:val="22"/>
          <w:szCs w:val="22"/>
        </w:rPr>
      </w:pPr>
      <w:r w:rsidRPr="00982B5E">
        <w:rPr>
          <w:rFonts w:eastAsia="Times New Roman" w:cs="Arial"/>
          <w:color w:val="0000FF"/>
          <w:sz w:val="22"/>
          <w:szCs w:val="22"/>
        </w:rPr>
        <w:t>A parameter is not considered sensitive if it requires a decrease of 50 percent or an increase of 100 percent to cause a change in the selected alternative.</w:t>
      </w:r>
    </w:p>
    <w:p w:rsidR="00BC5C8C" w:rsidRPr="00982B5E" w:rsidRDefault="00BC5C8C" w:rsidP="00982B5E">
      <w:pPr>
        <w:numPr>
          <w:ilvl w:val="0"/>
          <w:numId w:val="26"/>
        </w:numPr>
        <w:autoSpaceDE w:val="0"/>
        <w:autoSpaceDN w:val="0"/>
        <w:adjustRightInd w:val="0"/>
        <w:spacing w:after="0" w:line="240" w:lineRule="auto"/>
        <w:ind w:left="720"/>
        <w:rPr>
          <w:rFonts w:eastAsia="Times New Roman" w:cs="Arial"/>
          <w:color w:val="0000FF"/>
          <w:sz w:val="22"/>
          <w:szCs w:val="22"/>
        </w:rPr>
      </w:pPr>
      <w:r w:rsidRPr="00982B5E">
        <w:rPr>
          <w:rFonts w:eastAsia="Times New Roman" w:cs="Arial"/>
          <w:color w:val="0000FF"/>
          <w:sz w:val="22"/>
          <w:szCs w:val="22"/>
        </w:rPr>
        <w:t>A parameter is considered sensitive if a change between 10 and 50 percent causes a change in the selected alternative.</w:t>
      </w:r>
    </w:p>
    <w:p w:rsidR="00982B5E" w:rsidRPr="00982B5E" w:rsidRDefault="00BC5C8C" w:rsidP="00982B5E">
      <w:pPr>
        <w:numPr>
          <w:ilvl w:val="0"/>
          <w:numId w:val="26"/>
        </w:numPr>
        <w:autoSpaceDE w:val="0"/>
        <w:autoSpaceDN w:val="0"/>
        <w:adjustRightInd w:val="0"/>
        <w:spacing w:line="240" w:lineRule="auto"/>
        <w:ind w:left="720"/>
        <w:rPr>
          <w:rFonts w:eastAsia="Times New Roman" w:cs="Arial"/>
          <w:color w:val="0000FF"/>
          <w:sz w:val="22"/>
          <w:szCs w:val="22"/>
        </w:rPr>
      </w:pPr>
      <w:r w:rsidRPr="00982B5E">
        <w:rPr>
          <w:rFonts w:eastAsia="Times New Roman" w:cs="Arial"/>
          <w:color w:val="0000FF"/>
          <w:sz w:val="22"/>
          <w:szCs w:val="22"/>
        </w:rPr>
        <w:t>A parameter is considered very sensitive if a change of 10 percent or less causes a change in the selected alternative.</w:t>
      </w:r>
    </w:p>
    <w:p w:rsidR="00BC5C8C" w:rsidRPr="00982B5E" w:rsidRDefault="00BC5C8C" w:rsidP="00BC5C8C">
      <w:pPr>
        <w:autoSpaceDE w:val="0"/>
        <w:autoSpaceDN w:val="0"/>
        <w:adjustRightInd w:val="0"/>
        <w:rPr>
          <w:rFonts w:cs="Arial"/>
          <w:color w:val="0000FF"/>
          <w:sz w:val="22"/>
          <w:szCs w:val="22"/>
        </w:rPr>
      </w:pPr>
      <w:r w:rsidRPr="00982B5E">
        <w:rPr>
          <w:rFonts w:cs="Arial"/>
          <w:color w:val="0000FF"/>
          <w:sz w:val="22"/>
          <w:szCs w:val="22"/>
        </w:rPr>
        <w:t>In the previous example, the analysis would appear to be somewhat sensitive to the development costs, but not sensitive to the transition costs and benefits.]</w:t>
      </w:r>
    </w:p>
    <w:p w:rsidR="00BC5C8C" w:rsidRPr="008C2EC3" w:rsidRDefault="00B554B7" w:rsidP="0064357D">
      <w:pPr>
        <w:pStyle w:val="Heading1"/>
        <w:numPr>
          <w:ilvl w:val="0"/>
          <w:numId w:val="31"/>
        </w:numPr>
      </w:pPr>
      <w:r>
        <w:t xml:space="preserve"> </w:t>
      </w:r>
      <w:bookmarkStart w:id="27" w:name="_Toc366488498"/>
      <w:r w:rsidR="00BC5C8C" w:rsidRPr="008C2EC3">
        <w:t>Compare Investments</w:t>
      </w:r>
      <w:bookmarkEnd w:id="27"/>
    </w:p>
    <w:p w:rsidR="00BC5C8C" w:rsidRPr="00982B5E" w:rsidRDefault="00BC5C8C" w:rsidP="00BC5C8C">
      <w:pPr>
        <w:autoSpaceDE w:val="0"/>
        <w:autoSpaceDN w:val="0"/>
        <w:adjustRightInd w:val="0"/>
        <w:rPr>
          <w:rFonts w:cs="Arial"/>
          <w:color w:val="0000FF"/>
          <w:sz w:val="22"/>
          <w:szCs w:val="22"/>
        </w:rPr>
      </w:pPr>
      <w:r w:rsidRPr="00982B5E">
        <w:rPr>
          <w:rFonts w:cs="Arial"/>
          <w:color w:val="0000FF"/>
          <w:sz w:val="22"/>
          <w:szCs w:val="22"/>
        </w:rPr>
        <w:t>[Even if the CBA shows that benefits will outweigh costs, using Payback Period and Return on Investment (ROI) analysis help demonstrate an investment is a better utilization of funds than other proposed investments.</w:t>
      </w:r>
    </w:p>
    <w:p w:rsidR="00BC5C8C" w:rsidRDefault="00BC5C8C" w:rsidP="00BC5C8C">
      <w:pPr>
        <w:autoSpaceDE w:val="0"/>
        <w:autoSpaceDN w:val="0"/>
        <w:adjustRightInd w:val="0"/>
        <w:rPr>
          <w:rFonts w:cs="Arial"/>
          <w:color w:val="0000FF"/>
          <w:sz w:val="22"/>
          <w:szCs w:val="22"/>
        </w:rPr>
      </w:pPr>
      <w:r w:rsidRPr="00982B5E">
        <w:rPr>
          <w:rFonts w:cs="Arial"/>
          <w:color w:val="0000FF"/>
          <w:sz w:val="22"/>
          <w:szCs w:val="22"/>
        </w:rPr>
        <w:t>Table E-11—illustrates that the money invested in the system’s development, installation, and operation is not offset by the benefits until the 10th year. In other words, the payback period for the system is 10 years, which is generally unacceptable, making it difficult for this investment to obtain funding.]</w:t>
      </w:r>
    </w:p>
    <w:p w:rsidR="00982B5E" w:rsidRDefault="00982B5E" w:rsidP="00BC5C8C">
      <w:pPr>
        <w:autoSpaceDE w:val="0"/>
        <w:autoSpaceDN w:val="0"/>
        <w:adjustRightInd w:val="0"/>
        <w:rPr>
          <w:rFonts w:cs="Arial"/>
          <w:color w:val="0000FF"/>
          <w:sz w:val="22"/>
          <w:szCs w:val="22"/>
        </w:rPr>
      </w:pPr>
    </w:p>
    <w:p w:rsidR="00982B5E" w:rsidRDefault="00982B5E" w:rsidP="00BC5C8C">
      <w:pPr>
        <w:autoSpaceDE w:val="0"/>
        <w:autoSpaceDN w:val="0"/>
        <w:adjustRightInd w:val="0"/>
        <w:rPr>
          <w:rFonts w:cs="Arial"/>
          <w:color w:val="0000FF"/>
          <w:sz w:val="22"/>
          <w:szCs w:val="22"/>
        </w:rPr>
      </w:pPr>
    </w:p>
    <w:p w:rsidR="00982B5E" w:rsidRDefault="00982B5E" w:rsidP="00BC5C8C">
      <w:pPr>
        <w:autoSpaceDE w:val="0"/>
        <w:autoSpaceDN w:val="0"/>
        <w:adjustRightInd w:val="0"/>
        <w:rPr>
          <w:rFonts w:cs="Arial"/>
          <w:color w:val="0000FF"/>
          <w:sz w:val="22"/>
          <w:szCs w:val="22"/>
        </w:rPr>
      </w:pPr>
    </w:p>
    <w:p w:rsidR="00982B5E" w:rsidRDefault="00982B5E" w:rsidP="00BC5C8C">
      <w:pPr>
        <w:autoSpaceDE w:val="0"/>
        <w:autoSpaceDN w:val="0"/>
        <w:adjustRightInd w:val="0"/>
        <w:rPr>
          <w:rFonts w:cs="Arial"/>
          <w:color w:val="0000FF"/>
          <w:sz w:val="22"/>
          <w:szCs w:val="22"/>
        </w:rPr>
      </w:pPr>
    </w:p>
    <w:p w:rsidR="00BC5C8C" w:rsidRPr="00256659" w:rsidRDefault="00256659" w:rsidP="00256659">
      <w:pPr>
        <w:autoSpaceDE w:val="0"/>
        <w:autoSpaceDN w:val="0"/>
        <w:adjustRightInd w:val="0"/>
        <w:rPr>
          <w:rFonts w:cs="Arial"/>
          <w:color w:val="0000FF"/>
          <w:sz w:val="22"/>
          <w:szCs w:val="22"/>
        </w:rPr>
      </w:pPr>
      <w:r>
        <w:rPr>
          <w:rFonts w:ascii="Arial" w:hAnsi="Arial" w:cs="Arial"/>
          <w:i/>
          <w:noProof/>
          <w:color w:val="0000FF"/>
          <w:szCs w:val="20"/>
        </w:rPr>
        <w:drawing>
          <wp:inline distT="0" distB="0" distL="0" distR="0">
            <wp:extent cx="5419725" cy="3124200"/>
            <wp:effectExtent l="19050" t="0" r="952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419725" cy="3124200"/>
                    </a:xfrm>
                    <a:prstGeom prst="rect">
                      <a:avLst/>
                    </a:prstGeom>
                    <a:noFill/>
                    <a:ln w="9525">
                      <a:noFill/>
                      <a:miter lim="800000"/>
                      <a:headEnd/>
                      <a:tailEnd/>
                    </a:ln>
                  </pic:spPr>
                </pic:pic>
              </a:graphicData>
            </a:graphic>
          </wp:inline>
        </w:drawing>
      </w:r>
    </w:p>
    <w:p w:rsidR="00BC5C8C" w:rsidRPr="009903D0" w:rsidRDefault="00BC5C8C" w:rsidP="0064357D">
      <w:pPr>
        <w:pStyle w:val="Heading1"/>
        <w:numPr>
          <w:ilvl w:val="0"/>
          <w:numId w:val="31"/>
        </w:numPr>
      </w:pPr>
      <w:bookmarkStart w:id="28" w:name="_Toc366488499"/>
      <w:bookmarkStart w:id="29" w:name="_Toc195417367"/>
      <w:bookmarkStart w:id="30" w:name="_Toc195417315"/>
      <w:r w:rsidRPr="009903D0">
        <w:t>Executive Summary</w:t>
      </w:r>
      <w:bookmarkEnd w:id="28"/>
      <w:r w:rsidRPr="009903D0">
        <w:t xml:space="preserve"> </w:t>
      </w:r>
      <w:bookmarkEnd w:id="29"/>
      <w:bookmarkEnd w:id="30"/>
    </w:p>
    <w:p w:rsidR="00BC5C8C" w:rsidRPr="00322ED6" w:rsidRDefault="00BC5C8C" w:rsidP="00BC5C8C">
      <w:pPr>
        <w:rPr>
          <w:rFonts w:cs="Arial"/>
          <w:color w:val="0000FF"/>
          <w:sz w:val="22"/>
          <w:szCs w:val="22"/>
        </w:rPr>
      </w:pPr>
      <w:r w:rsidRPr="00322ED6">
        <w:rPr>
          <w:rFonts w:cs="Arial"/>
          <w:color w:val="0000FF"/>
          <w:sz w:val="22"/>
          <w:szCs w:val="22"/>
        </w:rPr>
        <w:t xml:space="preserve">To select the best capital asset, one should identify and consider at least three viable alternatives, one of which may be the current baseline, i.e., the status quo. </w:t>
      </w:r>
    </w:p>
    <w:p w:rsidR="00BC5C8C" w:rsidRPr="0082447E" w:rsidRDefault="00BC5C8C" w:rsidP="0082447E">
      <w:pPr>
        <w:rPr>
          <w:b/>
          <w:szCs w:val="22"/>
        </w:rPr>
      </w:pPr>
      <w:bookmarkStart w:id="31" w:name="_Toc195417368"/>
      <w:bookmarkStart w:id="32" w:name="_Toc195417316"/>
      <w:bookmarkStart w:id="33" w:name="_Toc195591745"/>
      <w:bookmarkStart w:id="34" w:name="_Toc201146489"/>
      <w:bookmarkStart w:id="35" w:name="_Toc201146536"/>
      <w:r w:rsidRPr="0082447E">
        <w:rPr>
          <w:b/>
        </w:rPr>
        <w:t>Did you conduct an Alternatives Analysis for this investment?</w:t>
      </w:r>
      <w:bookmarkEnd w:id="31"/>
      <w:bookmarkEnd w:id="32"/>
      <w:bookmarkEnd w:id="33"/>
      <w:bookmarkEnd w:id="34"/>
      <w:bookmarkEnd w:id="35"/>
    </w:p>
    <w:p w:rsidR="00BC5C8C" w:rsidRPr="00322ED6" w:rsidRDefault="00BC5C8C" w:rsidP="00BC5C8C">
      <w:pPr>
        <w:numPr>
          <w:ilvl w:val="0"/>
          <w:numId w:val="10"/>
        </w:numPr>
        <w:autoSpaceDE w:val="0"/>
        <w:autoSpaceDN w:val="0"/>
        <w:adjustRightInd w:val="0"/>
        <w:spacing w:before="60" w:after="60" w:line="240" w:lineRule="auto"/>
        <w:jc w:val="both"/>
        <w:rPr>
          <w:rFonts w:cs="Arial"/>
          <w:color w:val="0000FF"/>
          <w:sz w:val="22"/>
          <w:szCs w:val="22"/>
        </w:rPr>
      </w:pPr>
      <w:r w:rsidRPr="00322ED6">
        <w:rPr>
          <w:rFonts w:cs="Arial"/>
          <w:color w:val="0000FF"/>
          <w:sz w:val="22"/>
          <w:szCs w:val="22"/>
        </w:rPr>
        <w:t>If “yes,” provide the date the analysis was completed.</w:t>
      </w:r>
    </w:p>
    <w:p w:rsidR="00BC5C8C" w:rsidRPr="00322ED6" w:rsidRDefault="00BC5C8C" w:rsidP="00BC5C8C">
      <w:pPr>
        <w:numPr>
          <w:ilvl w:val="0"/>
          <w:numId w:val="10"/>
        </w:numPr>
        <w:autoSpaceDE w:val="0"/>
        <w:autoSpaceDN w:val="0"/>
        <w:adjustRightInd w:val="0"/>
        <w:spacing w:before="60" w:after="60" w:line="240" w:lineRule="auto"/>
        <w:jc w:val="both"/>
        <w:rPr>
          <w:rFonts w:cs="Arial"/>
          <w:color w:val="0000FF"/>
          <w:sz w:val="22"/>
          <w:szCs w:val="22"/>
        </w:rPr>
      </w:pPr>
      <w:r w:rsidRPr="00322ED6">
        <w:rPr>
          <w:rFonts w:cs="Arial"/>
          <w:color w:val="0000FF"/>
          <w:sz w:val="22"/>
          <w:szCs w:val="22"/>
        </w:rPr>
        <w:t>If “no,” what is the anticipated date this analysis will be completed?</w:t>
      </w:r>
    </w:p>
    <w:p w:rsidR="00BC5C8C" w:rsidRPr="00322ED6" w:rsidRDefault="00BC5C8C" w:rsidP="00322ED6">
      <w:pPr>
        <w:numPr>
          <w:ilvl w:val="0"/>
          <w:numId w:val="11"/>
        </w:numPr>
        <w:autoSpaceDE w:val="0"/>
        <w:autoSpaceDN w:val="0"/>
        <w:adjustRightInd w:val="0"/>
        <w:spacing w:before="60" w:line="240" w:lineRule="auto"/>
        <w:jc w:val="both"/>
        <w:rPr>
          <w:rFonts w:cs="Arial"/>
          <w:color w:val="0000FF"/>
          <w:sz w:val="22"/>
          <w:szCs w:val="22"/>
        </w:rPr>
      </w:pPr>
      <w:r w:rsidRPr="00322ED6">
        <w:rPr>
          <w:rFonts w:cs="Arial"/>
          <w:color w:val="0000FF"/>
          <w:sz w:val="22"/>
          <w:szCs w:val="22"/>
        </w:rPr>
        <w:t>If no analysis is planned, please briefly explain why.</w:t>
      </w:r>
    </w:p>
    <w:p w:rsidR="00BC5C8C" w:rsidRPr="0082447E" w:rsidRDefault="00BC5C8C" w:rsidP="0082447E">
      <w:pPr>
        <w:rPr>
          <w:b/>
        </w:rPr>
      </w:pPr>
      <w:bookmarkStart w:id="36" w:name="_Toc195591746"/>
      <w:bookmarkStart w:id="37" w:name="_Toc201146490"/>
      <w:bookmarkStart w:id="38" w:name="_Toc201146537"/>
      <w:r w:rsidRPr="0082447E">
        <w:rPr>
          <w:b/>
        </w:rPr>
        <w:t>Alternatives Analysis Results</w:t>
      </w:r>
      <w:bookmarkEnd w:id="36"/>
      <w:bookmarkEnd w:id="37"/>
      <w:bookmarkEnd w:id="38"/>
    </w:p>
    <w:p w:rsidR="00BC5C8C" w:rsidRPr="00322ED6" w:rsidRDefault="00BC5C8C" w:rsidP="00BC5C8C">
      <w:pPr>
        <w:autoSpaceDE w:val="0"/>
        <w:autoSpaceDN w:val="0"/>
        <w:adjustRightInd w:val="0"/>
        <w:rPr>
          <w:rFonts w:cs="Arial"/>
          <w:color w:val="0000FF"/>
          <w:sz w:val="22"/>
          <w:szCs w:val="22"/>
        </w:rPr>
      </w:pPr>
      <w:r w:rsidRPr="00322ED6">
        <w:rPr>
          <w:rFonts w:cs="Arial"/>
          <w:color w:val="0000FF"/>
          <w:sz w:val="22"/>
          <w:szCs w:val="22"/>
        </w:rPr>
        <w:t>Use the results of your alternatives analysis to complete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394"/>
        <w:gridCol w:w="2394"/>
      </w:tblGrid>
      <w:tr w:rsidR="00BC5C8C" w:rsidTr="00392923">
        <w:tc>
          <w:tcPr>
            <w:tcW w:w="2394" w:type="dxa"/>
            <w:shd w:val="clear" w:color="auto" w:fill="D9D9D9" w:themeFill="background1" w:themeFillShade="D9"/>
          </w:tcPr>
          <w:p w:rsidR="00BC5C8C" w:rsidRPr="00322ED6" w:rsidRDefault="00BC5C8C" w:rsidP="001870A2">
            <w:pPr>
              <w:autoSpaceDE w:val="0"/>
              <w:autoSpaceDN w:val="0"/>
              <w:adjustRightInd w:val="0"/>
              <w:jc w:val="center"/>
              <w:rPr>
                <w:rFonts w:cs="TimesNewRomanPS-Bold"/>
                <w:b/>
                <w:bCs/>
              </w:rPr>
            </w:pPr>
            <w:r w:rsidRPr="00322ED6">
              <w:rPr>
                <w:rFonts w:cs="TimesNewRomanPS-Bold"/>
                <w:b/>
                <w:bCs/>
                <w:sz w:val="22"/>
                <w:szCs w:val="22"/>
              </w:rPr>
              <w:t>Alternative Analyzed</w:t>
            </w:r>
          </w:p>
        </w:tc>
        <w:tc>
          <w:tcPr>
            <w:tcW w:w="2394" w:type="dxa"/>
            <w:shd w:val="clear" w:color="auto" w:fill="D9D9D9" w:themeFill="background1" w:themeFillShade="D9"/>
          </w:tcPr>
          <w:p w:rsidR="00BC5C8C" w:rsidRPr="00322ED6" w:rsidRDefault="00BC5C8C" w:rsidP="001870A2">
            <w:pPr>
              <w:autoSpaceDE w:val="0"/>
              <w:autoSpaceDN w:val="0"/>
              <w:adjustRightInd w:val="0"/>
              <w:jc w:val="center"/>
              <w:rPr>
                <w:rFonts w:cs="TimesNewRomanPS-Bold"/>
                <w:b/>
                <w:bCs/>
              </w:rPr>
            </w:pPr>
            <w:r w:rsidRPr="00322ED6">
              <w:rPr>
                <w:rFonts w:cs="TimesNewRomanPS-Bold"/>
                <w:b/>
                <w:bCs/>
                <w:sz w:val="22"/>
                <w:szCs w:val="22"/>
              </w:rPr>
              <w:t>Description of Alternative</w:t>
            </w:r>
          </w:p>
        </w:tc>
        <w:tc>
          <w:tcPr>
            <w:tcW w:w="2394" w:type="dxa"/>
            <w:shd w:val="clear" w:color="auto" w:fill="D9D9D9" w:themeFill="background1" w:themeFillShade="D9"/>
          </w:tcPr>
          <w:p w:rsidR="00BC5C8C" w:rsidRPr="00322ED6" w:rsidRDefault="00BC5C8C" w:rsidP="001870A2">
            <w:pPr>
              <w:autoSpaceDE w:val="0"/>
              <w:autoSpaceDN w:val="0"/>
              <w:adjustRightInd w:val="0"/>
              <w:jc w:val="center"/>
              <w:rPr>
                <w:rFonts w:cs="TimesNewRomanPS-Bold"/>
                <w:b/>
                <w:bCs/>
              </w:rPr>
            </w:pPr>
            <w:r w:rsidRPr="00322ED6">
              <w:rPr>
                <w:rFonts w:cs="TimesNewRomanPS-Bold"/>
                <w:b/>
                <w:bCs/>
                <w:sz w:val="22"/>
                <w:szCs w:val="22"/>
              </w:rPr>
              <w:t>Risk Adjusted Lifecycle Costs Estimate</w:t>
            </w:r>
          </w:p>
        </w:tc>
        <w:tc>
          <w:tcPr>
            <w:tcW w:w="2394" w:type="dxa"/>
            <w:shd w:val="clear" w:color="auto" w:fill="D9D9D9" w:themeFill="background1" w:themeFillShade="D9"/>
          </w:tcPr>
          <w:p w:rsidR="00BC5C8C" w:rsidRPr="00322ED6" w:rsidRDefault="00BC5C8C" w:rsidP="001870A2">
            <w:pPr>
              <w:autoSpaceDE w:val="0"/>
              <w:autoSpaceDN w:val="0"/>
              <w:adjustRightInd w:val="0"/>
              <w:jc w:val="center"/>
              <w:rPr>
                <w:rFonts w:cs="TimesNewRomanPS-Bold"/>
                <w:b/>
                <w:bCs/>
              </w:rPr>
            </w:pPr>
            <w:r w:rsidRPr="00322ED6">
              <w:rPr>
                <w:rFonts w:cs="TimesNewRomanPS-Bold"/>
                <w:b/>
                <w:bCs/>
                <w:sz w:val="22"/>
                <w:szCs w:val="22"/>
              </w:rPr>
              <w:t>Risk Adjusted Lifecycle Benefits Estimate</w:t>
            </w:r>
          </w:p>
        </w:tc>
      </w:tr>
      <w:tr w:rsidR="00BC5C8C" w:rsidTr="001870A2">
        <w:tc>
          <w:tcPr>
            <w:tcW w:w="2394" w:type="dxa"/>
          </w:tcPr>
          <w:p w:rsidR="00BC5C8C" w:rsidRPr="00256659" w:rsidRDefault="00BC5C8C" w:rsidP="001870A2">
            <w:pPr>
              <w:autoSpaceDE w:val="0"/>
              <w:autoSpaceDN w:val="0"/>
              <w:adjustRightInd w:val="0"/>
              <w:rPr>
                <w:rFonts w:cs="TimesNewRomanPS-Bold"/>
                <w:bCs/>
              </w:rPr>
            </w:pPr>
            <w:r w:rsidRPr="00256659">
              <w:rPr>
                <w:rFonts w:cs="TimesNewRomanPS-Bold"/>
                <w:bCs/>
                <w:sz w:val="22"/>
                <w:szCs w:val="22"/>
              </w:rPr>
              <w:t>Baseline</w:t>
            </w:r>
          </w:p>
        </w:tc>
        <w:tc>
          <w:tcPr>
            <w:tcW w:w="2394" w:type="dxa"/>
          </w:tcPr>
          <w:p w:rsidR="00BC5C8C" w:rsidRPr="00256659" w:rsidRDefault="00BC5C8C" w:rsidP="001870A2">
            <w:pPr>
              <w:autoSpaceDE w:val="0"/>
              <w:autoSpaceDN w:val="0"/>
              <w:adjustRightInd w:val="0"/>
              <w:rPr>
                <w:rFonts w:cs="TimesNewRomanPS-Bold"/>
                <w:bCs/>
              </w:rPr>
            </w:pPr>
            <w:r w:rsidRPr="00256659">
              <w:rPr>
                <w:rFonts w:cs="TimesNewRomanPS-Bold"/>
                <w:bCs/>
                <w:sz w:val="22"/>
                <w:szCs w:val="22"/>
              </w:rPr>
              <w:t>Status quo</w:t>
            </w:r>
          </w:p>
        </w:tc>
        <w:tc>
          <w:tcPr>
            <w:tcW w:w="2394" w:type="dxa"/>
          </w:tcPr>
          <w:p w:rsidR="00BC5C8C" w:rsidRPr="00256659" w:rsidRDefault="00BC5C8C" w:rsidP="001870A2">
            <w:pPr>
              <w:autoSpaceDE w:val="0"/>
              <w:autoSpaceDN w:val="0"/>
              <w:adjustRightInd w:val="0"/>
              <w:rPr>
                <w:rFonts w:cs="TimesNewRomanPS-Bold"/>
                <w:b/>
                <w:bCs/>
              </w:rPr>
            </w:pPr>
          </w:p>
        </w:tc>
        <w:tc>
          <w:tcPr>
            <w:tcW w:w="2394" w:type="dxa"/>
          </w:tcPr>
          <w:p w:rsidR="00BC5C8C" w:rsidRPr="00256659" w:rsidRDefault="00BC5C8C" w:rsidP="001870A2">
            <w:pPr>
              <w:autoSpaceDE w:val="0"/>
              <w:autoSpaceDN w:val="0"/>
              <w:adjustRightInd w:val="0"/>
              <w:rPr>
                <w:rFonts w:cs="TimesNewRomanPS-Bold"/>
                <w:b/>
                <w:bCs/>
              </w:rPr>
            </w:pPr>
          </w:p>
        </w:tc>
      </w:tr>
      <w:tr w:rsidR="00BC5C8C" w:rsidTr="001870A2">
        <w:tc>
          <w:tcPr>
            <w:tcW w:w="2394" w:type="dxa"/>
          </w:tcPr>
          <w:p w:rsidR="00BC5C8C" w:rsidRPr="00256659" w:rsidRDefault="00BC5C8C" w:rsidP="00BC5C8C">
            <w:pPr>
              <w:numPr>
                <w:ilvl w:val="0"/>
                <w:numId w:val="12"/>
              </w:numPr>
              <w:autoSpaceDE w:val="0"/>
              <w:autoSpaceDN w:val="0"/>
              <w:adjustRightInd w:val="0"/>
              <w:spacing w:before="60" w:after="60" w:line="240" w:lineRule="auto"/>
              <w:jc w:val="both"/>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r>
      <w:tr w:rsidR="00BC5C8C" w:rsidTr="001870A2">
        <w:tc>
          <w:tcPr>
            <w:tcW w:w="2394" w:type="dxa"/>
          </w:tcPr>
          <w:p w:rsidR="00BC5C8C" w:rsidRPr="00256659" w:rsidRDefault="00BC5C8C" w:rsidP="00BC5C8C">
            <w:pPr>
              <w:numPr>
                <w:ilvl w:val="0"/>
                <w:numId w:val="12"/>
              </w:numPr>
              <w:autoSpaceDE w:val="0"/>
              <w:autoSpaceDN w:val="0"/>
              <w:adjustRightInd w:val="0"/>
              <w:spacing w:before="60" w:after="60" w:line="240" w:lineRule="auto"/>
              <w:jc w:val="both"/>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r>
      <w:tr w:rsidR="00BC5C8C" w:rsidTr="001870A2">
        <w:tc>
          <w:tcPr>
            <w:tcW w:w="2394" w:type="dxa"/>
          </w:tcPr>
          <w:p w:rsidR="00BC5C8C" w:rsidRPr="00256659" w:rsidRDefault="00BC5C8C" w:rsidP="00BC5C8C">
            <w:pPr>
              <w:numPr>
                <w:ilvl w:val="0"/>
                <w:numId w:val="12"/>
              </w:numPr>
              <w:autoSpaceDE w:val="0"/>
              <w:autoSpaceDN w:val="0"/>
              <w:adjustRightInd w:val="0"/>
              <w:spacing w:before="60" w:after="60" w:line="240" w:lineRule="auto"/>
              <w:jc w:val="both"/>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c>
          <w:tcPr>
            <w:tcW w:w="2394" w:type="dxa"/>
          </w:tcPr>
          <w:p w:rsidR="00BC5C8C" w:rsidRPr="00256659" w:rsidRDefault="00BC5C8C" w:rsidP="001870A2">
            <w:pPr>
              <w:autoSpaceDE w:val="0"/>
              <w:autoSpaceDN w:val="0"/>
              <w:adjustRightInd w:val="0"/>
              <w:rPr>
                <w:rFonts w:cs="TimesNewRomanPS-Bold"/>
                <w:bCs/>
              </w:rPr>
            </w:pPr>
          </w:p>
        </w:tc>
      </w:tr>
    </w:tbl>
    <w:p w:rsidR="00256659" w:rsidRDefault="00256659" w:rsidP="00BC5C8C">
      <w:pPr>
        <w:autoSpaceDE w:val="0"/>
        <w:autoSpaceDN w:val="0"/>
        <w:adjustRightInd w:val="0"/>
        <w:rPr>
          <w:rFonts w:asciiTheme="majorHAnsi" w:eastAsiaTheme="majorEastAsia" w:hAnsiTheme="majorHAnsi" w:cstheme="majorBidi"/>
          <w:b/>
          <w:bCs/>
          <w:color w:val="4F81BD" w:themeColor="accent1"/>
          <w:sz w:val="26"/>
          <w:szCs w:val="26"/>
        </w:rPr>
      </w:pPr>
    </w:p>
    <w:p w:rsidR="00256659" w:rsidRPr="00973227" w:rsidRDefault="00BC5C8C" w:rsidP="00BC5C8C">
      <w:pPr>
        <w:autoSpaceDE w:val="0"/>
        <w:autoSpaceDN w:val="0"/>
        <w:adjustRightInd w:val="0"/>
        <w:rPr>
          <w:rFonts w:eastAsia="Arial Unicode MS" w:cs="Arial Unicode MS"/>
          <w:b/>
          <w:bCs/>
          <w:caps/>
        </w:rPr>
      </w:pPr>
      <w:r w:rsidRPr="001C65B7">
        <w:rPr>
          <w:rFonts w:eastAsia="Arial Unicode MS" w:cs="Arial Unicode MS"/>
          <w:b/>
          <w:bCs/>
          <w:caps/>
        </w:rPr>
        <w:lastRenderedPageBreak/>
        <w:t>What specific qualitative benefits will be realized?</w:t>
      </w:r>
    </w:p>
    <w:p w:rsidR="00BC5C8C" w:rsidRPr="001C65B7" w:rsidRDefault="00BC5C8C" w:rsidP="00BC5C8C">
      <w:pPr>
        <w:autoSpaceDE w:val="0"/>
        <w:autoSpaceDN w:val="0"/>
        <w:adjustRightInd w:val="0"/>
        <w:rPr>
          <w:rFonts w:eastAsia="Arial Unicode MS" w:cs="Arial Unicode MS"/>
          <w:b/>
          <w:bCs/>
          <w:caps/>
        </w:rPr>
      </w:pPr>
      <w:r w:rsidRPr="001C65B7">
        <w:rPr>
          <w:rFonts w:eastAsia="Arial Unicode MS" w:cs="Arial Unicode MS"/>
          <w:b/>
          <w:bCs/>
          <w:caps/>
        </w:rPr>
        <w:t>Will the selected alternative replace a legacy system in-part or inwhole?</w:t>
      </w:r>
      <w:r>
        <w:rPr>
          <w:rFonts w:eastAsia="Arial Unicode MS" w:cs="Arial Unicode MS"/>
          <w:b/>
          <w:bCs/>
          <w:caps/>
        </w:rPr>
        <w:t xml:space="preserve">  Yes / No</w:t>
      </w:r>
    </w:p>
    <w:p w:rsidR="00BC5C8C" w:rsidRPr="00985426" w:rsidRDefault="00BC5C8C" w:rsidP="00BC5C8C">
      <w:pPr>
        <w:numPr>
          <w:ilvl w:val="0"/>
          <w:numId w:val="13"/>
        </w:numPr>
        <w:autoSpaceDE w:val="0"/>
        <w:autoSpaceDN w:val="0"/>
        <w:adjustRightInd w:val="0"/>
        <w:spacing w:before="60" w:after="60" w:line="240" w:lineRule="auto"/>
        <w:rPr>
          <w:rFonts w:cs="TimesNewRomanPS"/>
          <w:sz w:val="22"/>
          <w:szCs w:val="22"/>
        </w:rPr>
      </w:pPr>
      <w:r w:rsidRPr="00985426">
        <w:rPr>
          <w:rFonts w:cs="TimesNewRomanPS"/>
          <w:sz w:val="22"/>
          <w:szCs w:val="22"/>
        </w:rPr>
        <w:t>If “yes,” are the migration costs associated with the migration to the selected alternative included in this investment, the legacy investment, or in a separate migration investment?</w:t>
      </w:r>
    </w:p>
    <w:p w:rsidR="00BC5C8C" w:rsidRPr="00985426" w:rsidRDefault="00BC5C8C" w:rsidP="00BC5C8C">
      <w:pPr>
        <w:numPr>
          <w:ilvl w:val="0"/>
          <w:numId w:val="13"/>
        </w:numPr>
        <w:autoSpaceDE w:val="0"/>
        <w:autoSpaceDN w:val="0"/>
        <w:adjustRightInd w:val="0"/>
        <w:spacing w:before="60" w:after="60" w:line="240" w:lineRule="auto"/>
        <w:rPr>
          <w:rFonts w:cs="TimesNewRomanPS"/>
          <w:sz w:val="22"/>
          <w:szCs w:val="22"/>
        </w:rPr>
      </w:pPr>
      <w:r w:rsidRPr="00985426">
        <w:rPr>
          <w:rFonts w:cs="TimesNewRomanPS"/>
          <w:sz w:val="22"/>
          <w:szCs w:val="22"/>
        </w:rPr>
        <w:t>If “yes,” please provide the following information:</w:t>
      </w:r>
    </w:p>
    <w:p w:rsidR="00BC5C8C" w:rsidRDefault="00BC5C8C" w:rsidP="00BC5C8C">
      <w:pPr>
        <w:autoSpaceDE w:val="0"/>
        <w:autoSpaceDN w:val="0"/>
        <w:adjustRightInd w:val="0"/>
        <w:rPr>
          <w:rFonts w:ascii="Arial" w:hAnsi="Arial" w:cs="TimesNewRomanPS"/>
          <w:sz w:val="22"/>
          <w:szCs w:val="22"/>
        </w:rPr>
      </w:pPr>
    </w:p>
    <w:tbl>
      <w:tblPr>
        <w:tblpPr w:leftFromText="180" w:rightFromText="180" w:vertAnchor="page" w:horzAnchor="margin" w:tblpY="44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gridCol w:w="3192"/>
      </w:tblGrid>
      <w:tr w:rsidR="00256659" w:rsidRPr="00985426" w:rsidTr="00256659">
        <w:tc>
          <w:tcPr>
            <w:tcW w:w="9576" w:type="dxa"/>
            <w:gridSpan w:val="3"/>
            <w:shd w:val="clear" w:color="auto" w:fill="E0E0E0"/>
          </w:tcPr>
          <w:p w:rsidR="00256659" w:rsidRPr="00985426" w:rsidRDefault="00256659" w:rsidP="00256659">
            <w:pPr>
              <w:pStyle w:val="NormalWeb"/>
              <w:jc w:val="center"/>
              <w:rPr>
                <w:rFonts w:ascii="Arial Narrow" w:eastAsiaTheme="minorHAnsi" w:hAnsi="Arial Narrow" w:cs="TimesNewRomanPS"/>
              </w:rPr>
            </w:pPr>
            <w:r w:rsidRPr="00985426">
              <w:rPr>
                <w:rFonts w:ascii="Arial Narrow" w:eastAsiaTheme="minorHAnsi" w:hAnsi="Arial Narrow" w:cs="TimesNewRomanPS"/>
                <w:sz w:val="22"/>
                <w:szCs w:val="22"/>
              </w:rPr>
              <w:t>List of Legacy Investment or Systems</w:t>
            </w:r>
          </w:p>
        </w:tc>
      </w:tr>
      <w:tr w:rsidR="00256659" w:rsidRPr="00985426" w:rsidTr="00256659">
        <w:tc>
          <w:tcPr>
            <w:tcW w:w="3192" w:type="dxa"/>
          </w:tcPr>
          <w:p w:rsidR="00256659" w:rsidRPr="00985426" w:rsidRDefault="00256659" w:rsidP="00256659">
            <w:pPr>
              <w:pStyle w:val="NormalWeb"/>
              <w:jc w:val="center"/>
              <w:rPr>
                <w:rFonts w:ascii="Arial Narrow" w:eastAsiaTheme="minorHAnsi" w:hAnsi="Arial Narrow" w:cs="TimesNewRomanPS"/>
              </w:rPr>
            </w:pPr>
            <w:r w:rsidRPr="00985426">
              <w:rPr>
                <w:rFonts w:ascii="Arial Narrow" w:eastAsiaTheme="minorHAnsi" w:hAnsi="Arial Narrow" w:cs="TimesNewRomanPS"/>
                <w:sz w:val="22"/>
                <w:szCs w:val="22"/>
              </w:rPr>
              <w:t>Name of Legacy Investment or Systems</w:t>
            </w:r>
          </w:p>
        </w:tc>
        <w:tc>
          <w:tcPr>
            <w:tcW w:w="3192" w:type="dxa"/>
          </w:tcPr>
          <w:p w:rsidR="00256659" w:rsidRPr="00985426" w:rsidRDefault="00256659" w:rsidP="00256659">
            <w:pPr>
              <w:pStyle w:val="NormalWeb"/>
              <w:jc w:val="center"/>
              <w:rPr>
                <w:rFonts w:ascii="Arial Narrow" w:eastAsiaTheme="minorHAnsi" w:hAnsi="Arial Narrow" w:cs="TimesNewRomanPS"/>
              </w:rPr>
            </w:pPr>
            <w:r w:rsidRPr="00985426">
              <w:rPr>
                <w:rFonts w:ascii="Arial Narrow" w:eastAsiaTheme="minorHAnsi" w:hAnsi="Arial Narrow" w:cs="TimesNewRomanPS"/>
                <w:sz w:val="22"/>
                <w:szCs w:val="22"/>
              </w:rPr>
              <w:t xml:space="preserve">UPI if available </w:t>
            </w:r>
          </w:p>
        </w:tc>
        <w:tc>
          <w:tcPr>
            <w:tcW w:w="3192" w:type="dxa"/>
          </w:tcPr>
          <w:p w:rsidR="00256659" w:rsidRPr="00985426" w:rsidRDefault="00256659" w:rsidP="00256659">
            <w:pPr>
              <w:pStyle w:val="NormalWeb"/>
              <w:jc w:val="center"/>
              <w:rPr>
                <w:rFonts w:ascii="Arial Narrow" w:eastAsiaTheme="minorHAnsi" w:hAnsi="Arial Narrow" w:cs="TimesNewRomanPS"/>
              </w:rPr>
            </w:pPr>
            <w:r w:rsidRPr="00985426">
              <w:rPr>
                <w:rFonts w:ascii="Arial Narrow" w:eastAsiaTheme="minorHAnsi" w:hAnsi="Arial Narrow" w:cs="TimesNewRomanPS"/>
                <w:sz w:val="22"/>
                <w:szCs w:val="22"/>
              </w:rPr>
              <w:t>Date of System Retirement</w:t>
            </w:r>
          </w:p>
        </w:tc>
      </w:tr>
      <w:tr w:rsidR="00256659" w:rsidTr="00256659">
        <w:tc>
          <w:tcPr>
            <w:tcW w:w="3192" w:type="dxa"/>
          </w:tcPr>
          <w:p w:rsidR="00256659" w:rsidRDefault="00256659" w:rsidP="00256659">
            <w:pPr>
              <w:pStyle w:val="Heading2"/>
            </w:pPr>
          </w:p>
        </w:tc>
        <w:tc>
          <w:tcPr>
            <w:tcW w:w="3192" w:type="dxa"/>
          </w:tcPr>
          <w:p w:rsidR="00256659" w:rsidRDefault="00256659" w:rsidP="00256659">
            <w:pPr>
              <w:pStyle w:val="Heading2"/>
            </w:pPr>
          </w:p>
        </w:tc>
        <w:tc>
          <w:tcPr>
            <w:tcW w:w="3192" w:type="dxa"/>
          </w:tcPr>
          <w:p w:rsidR="00256659" w:rsidRDefault="00256659" w:rsidP="00256659">
            <w:pPr>
              <w:pStyle w:val="Heading2"/>
            </w:pPr>
          </w:p>
        </w:tc>
      </w:tr>
      <w:tr w:rsidR="00256659" w:rsidTr="00256659">
        <w:tc>
          <w:tcPr>
            <w:tcW w:w="3192" w:type="dxa"/>
          </w:tcPr>
          <w:p w:rsidR="00256659" w:rsidRDefault="00256659" w:rsidP="00256659">
            <w:pPr>
              <w:pStyle w:val="Heading2"/>
            </w:pPr>
          </w:p>
        </w:tc>
        <w:tc>
          <w:tcPr>
            <w:tcW w:w="3192" w:type="dxa"/>
          </w:tcPr>
          <w:p w:rsidR="00256659" w:rsidRDefault="00256659" w:rsidP="00256659">
            <w:pPr>
              <w:pStyle w:val="Heading2"/>
            </w:pPr>
          </w:p>
        </w:tc>
        <w:tc>
          <w:tcPr>
            <w:tcW w:w="3192" w:type="dxa"/>
          </w:tcPr>
          <w:p w:rsidR="00256659" w:rsidRDefault="00256659" w:rsidP="00256659">
            <w:pPr>
              <w:pStyle w:val="Heading2"/>
            </w:pPr>
          </w:p>
        </w:tc>
      </w:tr>
      <w:tr w:rsidR="00256659" w:rsidTr="00256659">
        <w:tc>
          <w:tcPr>
            <w:tcW w:w="3192" w:type="dxa"/>
          </w:tcPr>
          <w:p w:rsidR="00256659" w:rsidRDefault="00256659" w:rsidP="00256659">
            <w:pPr>
              <w:pStyle w:val="Heading2"/>
            </w:pPr>
          </w:p>
        </w:tc>
        <w:tc>
          <w:tcPr>
            <w:tcW w:w="3192" w:type="dxa"/>
          </w:tcPr>
          <w:p w:rsidR="00256659" w:rsidRDefault="00256659" w:rsidP="00256659">
            <w:pPr>
              <w:pStyle w:val="Heading2"/>
            </w:pPr>
          </w:p>
        </w:tc>
        <w:tc>
          <w:tcPr>
            <w:tcW w:w="3192" w:type="dxa"/>
          </w:tcPr>
          <w:p w:rsidR="00256659" w:rsidRDefault="00256659" w:rsidP="00256659">
            <w:pPr>
              <w:pStyle w:val="Heading2"/>
            </w:pPr>
          </w:p>
        </w:tc>
      </w:tr>
    </w:tbl>
    <w:p w:rsidR="00256659" w:rsidRDefault="00256659"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945C26">
      <w:pPr>
        <w:pStyle w:val="Heading1"/>
        <w:spacing w:before="480" w:line="240" w:lineRule="auto"/>
        <w:ind w:left="360" w:hanging="360"/>
        <w:rPr>
          <w:rFonts w:cs="Arial"/>
          <w:noProof w:val="0"/>
          <w:szCs w:val="24"/>
        </w:rPr>
      </w:pPr>
      <w:bookmarkStart w:id="39" w:name="_Toc366488500"/>
      <w:r>
        <w:rPr>
          <w:rFonts w:cs="Arial"/>
          <w:noProof w:val="0"/>
          <w:szCs w:val="24"/>
        </w:rPr>
        <w:lastRenderedPageBreak/>
        <w:t>Appendix A: References</w:t>
      </w:r>
      <w:bookmarkEnd w:id="39"/>
    </w:p>
    <w:p w:rsidR="00945C26" w:rsidRPr="002913F1" w:rsidRDefault="00945C26" w:rsidP="00945C26">
      <w:pPr>
        <w:rPr>
          <w:rStyle w:val="Hyperlink"/>
          <w:sz w:val="22"/>
          <w:szCs w:val="22"/>
          <w:u w:val="none"/>
        </w:rPr>
      </w:pPr>
      <w:r w:rsidRPr="002913F1">
        <w:rPr>
          <w:rStyle w:val="Hyperlink"/>
          <w:sz w:val="22"/>
          <w:szCs w:val="22"/>
          <w:u w:val="none"/>
        </w:rPr>
        <w:t>Insert the name, version number, description, and physical location of any documents referenced in this document. Add rows to the table as necessary.</w:t>
      </w:r>
    </w:p>
    <w:p w:rsidR="00945C26" w:rsidRDefault="00945C26" w:rsidP="00945C26">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945C26" w:rsidRPr="003F3C5F" w:rsidTr="003F252E">
        <w:trPr>
          <w:trHeight w:val="70"/>
          <w:jc w:val="center"/>
        </w:trPr>
        <w:tc>
          <w:tcPr>
            <w:tcW w:w="1361" w:type="pct"/>
            <w:shd w:val="clear" w:color="auto" w:fill="365F91" w:themeFill="accent1" w:themeFillShade="BF"/>
          </w:tcPr>
          <w:p w:rsidR="00945C26" w:rsidRPr="00C97B32" w:rsidRDefault="00945C26" w:rsidP="003F252E">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945C26" w:rsidRPr="00C97B32" w:rsidRDefault="00945C26" w:rsidP="003F252E">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945C26" w:rsidRPr="00C97B32" w:rsidRDefault="00945C26" w:rsidP="003F252E">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945C26" w:rsidRPr="003F3C5F" w:rsidTr="003F252E">
        <w:trPr>
          <w:trHeight w:val="482"/>
          <w:jc w:val="center"/>
        </w:trPr>
        <w:tc>
          <w:tcPr>
            <w:tcW w:w="1361" w:type="pct"/>
          </w:tcPr>
          <w:p w:rsidR="00945C26" w:rsidRPr="00DC491A" w:rsidRDefault="00945C26" w:rsidP="003F252E">
            <w:pPr>
              <w:pStyle w:val="BodyText"/>
              <w:jc w:val="center"/>
              <w:rPr>
                <w:rStyle w:val="Hyperlink"/>
                <w:rFonts w:ascii="Arial Narrow" w:eastAsiaTheme="minorHAnsi" w:hAnsi="Arial Narrow" w:cstheme="minorBidi"/>
                <w:u w:val="none"/>
              </w:rPr>
            </w:pPr>
            <w:r w:rsidRPr="00DC491A">
              <w:rPr>
                <w:rStyle w:val="Hyperlink"/>
                <w:rFonts w:ascii="Arial Narrow" w:eastAsiaTheme="minorHAnsi" w:hAnsi="Arial Narrow" w:cstheme="minorBidi"/>
                <w:sz w:val="22"/>
                <w:szCs w:val="22"/>
                <w:u w:val="none"/>
              </w:rPr>
              <w:t>Document Name and Version Number</w:t>
            </w:r>
          </w:p>
        </w:tc>
        <w:tc>
          <w:tcPr>
            <w:tcW w:w="1708" w:type="pct"/>
          </w:tcPr>
          <w:p w:rsidR="00945C26" w:rsidRPr="00DC491A" w:rsidRDefault="00945C26" w:rsidP="003F252E">
            <w:pPr>
              <w:pStyle w:val="BodyText"/>
              <w:jc w:val="center"/>
              <w:rPr>
                <w:rStyle w:val="Hyperlink"/>
                <w:rFonts w:ascii="Arial Narrow" w:eastAsiaTheme="minorHAnsi" w:hAnsi="Arial Narrow" w:cstheme="minorBidi"/>
                <w:u w:val="none"/>
              </w:rPr>
            </w:pPr>
            <w:r w:rsidRPr="00DC491A">
              <w:rPr>
                <w:rStyle w:val="Hyperlink"/>
                <w:rFonts w:ascii="Arial Narrow" w:eastAsiaTheme="minorHAnsi" w:hAnsi="Arial Narrow" w:cstheme="minorBidi"/>
                <w:sz w:val="22"/>
                <w:szCs w:val="22"/>
                <w:u w:val="none"/>
              </w:rPr>
              <w:t>Document description</w:t>
            </w:r>
          </w:p>
        </w:tc>
        <w:tc>
          <w:tcPr>
            <w:tcW w:w="1931" w:type="pct"/>
          </w:tcPr>
          <w:p w:rsidR="00945C26" w:rsidRPr="00DC491A" w:rsidRDefault="00945C26" w:rsidP="003F252E">
            <w:pPr>
              <w:pStyle w:val="BodyText"/>
              <w:jc w:val="center"/>
              <w:rPr>
                <w:rStyle w:val="Hyperlink"/>
                <w:rFonts w:ascii="Arial Narrow" w:eastAsiaTheme="minorHAnsi" w:hAnsi="Arial Narrow" w:cstheme="minorBidi"/>
                <w:u w:val="none"/>
              </w:rPr>
            </w:pPr>
            <w:r w:rsidRPr="00DC491A">
              <w:rPr>
                <w:rStyle w:val="Hyperlink"/>
                <w:rFonts w:ascii="Arial Narrow" w:eastAsiaTheme="minorHAnsi" w:hAnsi="Arial Narrow" w:cstheme="minorBidi"/>
                <w:sz w:val="22"/>
                <w:szCs w:val="22"/>
                <w:u w:val="none"/>
              </w:rPr>
              <w:t>URL or Network path where document is located</w:t>
            </w:r>
          </w:p>
        </w:tc>
      </w:tr>
      <w:tr w:rsidR="00945C26" w:rsidRPr="003F3C5F" w:rsidTr="003F252E">
        <w:trPr>
          <w:trHeight w:val="70"/>
          <w:jc w:val="center"/>
        </w:trPr>
        <w:tc>
          <w:tcPr>
            <w:tcW w:w="1361" w:type="pct"/>
          </w:tcPr>
          <w:p w:rsidR="00945C26" w:rsidRPr="00C97B32" w:rsidRDefault="00945C26" w:rsidP="003F252E">
            <w:pPr>
              <w:pStyle w:val="BodyText"/>
              <w:jc w:val="center"/>
              <w:rPr>
                <w:rFonts w:ascii="Arial Narrow" w:hAnsi="Arial Narrow" w:cs="Arial"/>
                <w:i/>
                <w:color w:val="0000FF"/>
              </w:rPr>
            </w:pPr>
          </w:p>
        </w:tc>
        <w:tc>
          <w:tcPr>
            <w:tcW w:w="1708" w:type="pct"/>
          </w:tcPr>
          <w:p w:rsidR="00945C26" w:rsidRPr="00C97B32" w:rsidRDefault="00945C26" w:rsidP="003F252E">
            <w:pPr>
              <w:pStyle w:val="BodyText"/>
              <w:jc w:val="center"/>
              <w:rPr>
                <w:rFonts w:ascii="Arial Narrow" w:hAnsi="Arial Narrow" w:cs="Arial"/>
                <w:i/>
                <w:color w:val="0000FF"/>
              </w:rPr>
            </w:pPr>
          </w:p>
        </w:tc>
        <w:tc>
          <w:tcPr>
            <w:tcW w:w="1931" w:type="pct"/>
          </w:tcPr>
          <w:p w:rsidR="00945C26" w:rsidRPr="00C97B32" w:rsidRDefault="00945C26" w:rsidP="003F252E">
            <w:pPr>
              <w:pStyle w:val="BodyText"/>
              <w:jc w:val="center"/>
              <w:rPr>
                <w:rFonts w:ascii="Arial Narrow" w:hAnsi="Arial Narrow" w:cs="Arial"/>
                <w:i/>
                <w:color w:val="0000FF"/>
              </w:rPr>
            </w:pPr>
          </w:p>
        </w:tc>
      </w:tr>
      <w:tr w:rsidR="00945C26" w:rsidRPr="003F3C5F" w:rsidTr="003F252E">
        <w:trPr>
          <w:trHeight w:val="70"/>
          <w:jc w:val="center"/>
        </w:trPr>
        <w:tc>
          <w:tcPr>
            <w:tcW w:w="1361" w:type="pct"/>
          </w:tcPr>
          <w:p w:rsidR="00945C26" w:rsidRPr="00C97B32" w:rsidRDefault="00945C26" w:rsidP="003F252E">
            <w:pPr>
              <w:pStyle w:val="BodyText"/>
              <w:jc w:val="center"/>
              <w:rPr>
                <w:rFonts w:ascii="Arial Narrow" w:hAnsi="Arial Narrow" w:cs="Arial"/>
                <w:i/>
                <w:color w:val="0000FF"/>
              </w:rPr>
            </w:pPr>
          </w:p>
        </w:tc>
        <w:tc>
          <w:tcPr>
            <w:tcW w:w="1708" w:type="pct"/>
          </w:tcPr>
          <w:p w:rsidR="00945C26" w:rsidRPr="00C97B32" w:rsidRDefault="00945C26" w:rsidP="003F252E">
            <w:pPr>
              <w:pStyle w:val="BodyText"/>
              <w:jc w:val="center"/>
              <w:rPr>
                <w:rFonts w:ascii="Arial Narrow" w:hAnsi="Arial Narrow" w:cs="Arial"/>
                <w:i/>
                <w:color w:val="0000FF"/>
              </w:rPr>
            </w:pPr>
          </w:p>
        </w:tc>
        <w:tc>
          <w:tcPr>
            <w:tcW w:w="1931" w:type="pct"/>
          </w:tcPr>
          <w:p w:rsidR="00945C26" w:rsidRPr="00C97B32" w:rsidRDefault="00945C26" w:rsidP="003F252E">
            <w:pPr>
              <w:pStyle w:val="BodyText"/>
              <w:jc w:val="center"/>
              <w:rPr>
                <w:rFonts w:ascii="Arial Narrow" w:hAnsi="Arial Narrow" w:cs="Arial"/>
                <w:i/>
                <w:color w:val="0000FF"/>
              </w:rPr>
            </w:pPr>
          </w:p>
        </w:tc>
      </w:tr>
    </w:tbl>
    <w:p w:rsidR="00945C26" w:rsidRPr="00945C26" w:rsidRDefault="00945C26" w:rsidP="00945C26"/>
    <w:p w:rsidR="00945C26" w:rsidRDefault="00945C26" w:rsidP="00945C26">
      <w:pPr>
        <w:pStyle w:val="Heading1"/>
        <w:spacing w:before="480" w:line="240" w:lineRule="auto"/>
        <w:ind w:left="360" w:hanging="360"/>
        <w:rPr>
          <w:rFonts w:cs="Arial"/>
          <w:noProof w:val="0"/>
          <w:szCs w:val="24"/>
        </w:rPr>
      </w:pPr>
    </w:p>
    <w:p w:rsidR="00945C26" w:rsidRDefault="00945C26" w:rsidP="00945C26"/>
    <w:p w:rsidR="00945C26" w:rsidRDefault="00945C26" w:rsidP="00945C26"/>
    <w:p w:rsidR="00945C26" w:rsidRDefault="00945C26" w:rsidP="00945C26"/>
    <w:p w:rsidR="00945C26" w:rsidRDefault="00945C26" w:rsidP="00945C26"/>
    <w:p w:rsidR="00945C26" w:rsidRDefault="00945C26" w:rsidP="00945C26"/>
    <w:p w:rsidR="00945C26" w:rsidRDefault="00945C26" w:rsidP="00945C26"/>
    <w:p w:rsidR="00945C26" w:rsidRDefault="00945C26" w:rsidP="00945C26"/>
    <w:p w:rsidR="00945C26" w:rsidRPr="00945C26" w:rsidRDefault="00945C26" w:rsidP="00945C26"/>
    <w:p w:rsidR="00945C26" w:rsidRDefault="00945C26" w:rsidP="00945C26">
      <w:pPr>
        <w:pStyle w:val="Heading1"/>
        <w:spacing w:before="480" w:line="240" w:lineRule="auto"/>
        <w:ind w:left="360" w:hanging="360"/>
        <w:rPr>
          <w:rFonts w:cs="Arial"/>
          <w:noProof w:val="0"/>
          <w:szCs w:val="24"/>
        </w:rPr>
      </w:pPr>
    </w:p>
    <w:p w:rsidR="00945C26" w:rsidRDefault="00945C26" w:rsidP="00945C26"/>
    <w:p w:rsidR="00945C26" w:rsidRDefault="00945C26" w:rsidP="00945C26"/>
    <w:p w:rsidR="00945C26" w:rsidRDefault="00945C26" w:rsidP="00945C26"/>
    <w:p w:rsidR="00945C26" w:rsidRPr="00945C26" w:rsidRDefault="00945C26" w:rsidP="00945C26"/>
    <w:p w:rsidR="00945C26" w:rsidRPr="00945C26" w:rsidRDefault="00945C26" w:rsidP="00945C26">
      <w:pPr>
        <w:pStyle w:val="Heading1"/>
        <w:spacing w:before="480" w:line="240" w:lineRule="auto"/>
        <w:ind w:left="360" w:hanging="360"/>
        <w:rPr>
          <w:rFonts w:cs="Arial"/>
          <w:noProof w:val="0"/>
          <w:szCs w:val="24"/>
        </w:rPr>
      </w:pPr>
      <w:bookmarkStart w:id="40" w:name="_Toc366488501"/>
      <w:r w:rsidRPr="00945C26">
        <w:rPr>
          <w:rFonts w:cs="Arial"/>
          <w:noProof w:val="0"/>
          <w:szCs w:val="24"/>
        </w:rPr>
        <w:lastRenderedPageBreak/>
        <w:t>Approvals/Signatures</w:t>
      </w:r>
      <w:bookmarkEnd w:id="40"/>
    </w:p>
    <w:p w:rsidR="00945C26" w:rsidRPr="00945C26" w:rsidRDefault="00945C26" w:rsidP="00945C26">
      <w:pPr>
        <w:rPr>
          <w:color w:val="000000" w:themeColor="text1"/>
          <w:sz w:val="22"/>
          <w:szCs w:val="22"/>
        </w:rPr>
      </w:pPr>
      <w:r w:rsidRPr="00945C26">
        <w:rPr>
          <w:color w:val="000000" w:themeColor="text1"/>
          <w:sz w:val="22"/>
          <w:szCs w:val="22"/>
        </w:rPr>
        <w:t xml:space="preserve">The undersigned acknowledge that they have reviewed the </w:t>
      </w:r>
      <w:r w:rsidRPr="00945C26">
        <w:rPr>
          <w:rStyle w:val="Hyperlink"/>
          <w:sz w:val="22"/>
          <w:szCs w:val="22"/>
        </w:rPr>
        <w:t>[</w:t>
      </w:r>
      <w:r w:rsidRPr="00DC491A">
        <w:rPr>
          <w:rStyle w:val="Hyperlink"/>
          <w:sz w:val="22"/>
          <w:szCs w:val="22"/>
          <w:u w:val="none"/>
        </w:rPr>
        <w:t>name of document</w:t>
      </w:r>
      <w:r w:rsidRPr="00945C26">
        <w:rPr>
          <w:rStyle w:val="Hyperlink"/>
          <w:sz w:val="22"/>
          <w:szCs w:val="22"/>
        </w:rPr>
        <w:t>]</w:t>
      </w:r>
      <w:r w:rsidRPr="00945C26">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Signature:</w:t>
            </w:r>
          </w:p>
        </w:tc>
        <w:tc>
          <w:tcPr>
            <w:tcW w:w="5220" w:type="dxa"/>
            <w:tcBorders>
              <w:top w:val="nil"/>
              <w:left w:val="nil"/>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r w:rsidRPr="00945C26">
              <w:rPr>
                <w:sz w:val="22"/>
                <w:szCs w:val="22"/>
              </w:rPr>
              <w:t>Date:</w:t>
            </w:r>
          </w:p>
        </w:tc>
        <w:tc>
          <w:tcPr>
            <w:tcW w:w="1800" w:type="dxa"/>
            <w:tcBorders>
              <w:top w:val="nil"/>
              <w:left w:val="nil"/>
              <w:bottom w:val="single" w:sz="4" w:space="0" w:color="auto"/>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Print Name:</w:t>
            </w:r>
          </w:p>
        </w:tc>
        <w:tc>
          <w:tcPr>
            <w:tcW w:w="5220" w:type="dxa"/>
            <w:tcBorders>
              <w:left w:val="nil"/>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single" w:sz="4" w:space="0" w:color="auto"/>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Title:</w:t>
            </w:r>
          </w:p>
        </w:tc>
        <w:tc>
          <w:tcPr>
            <w:tcW w:w="5220" w:type="dxa"/>
            <w:tcBorders>
              <w:left w:val="nil"/>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Role:</w:t>
            </w:r>
          </w:p>
        </w:tc>
        <w:tc>
          <w:tcPr>
            <w:tcW w:w="5220" w:type="dxa"/>
            <w:tcBorders>
              <w:left w:val="nil"/>
              <w:bottom w:val="nil"/>
              <w:right w:val="nil"/>
            </w:tcBorders>
            <w:vAlign w:val="bottom"/>
          </w:tcPr>
          <w:p w:rsidR="00945C26" w:rsidRPr="00945C26" w:rsidRDefault="00945C26" w:rsidP="003F252E">
            <w:pPr>
              <w:spacing w:after="0"/>
            </w:pPr>
            <w:r w:rsidRPr="00945C26">
              <w:rPr>
                <w:rStyle w:val="Hyperlink"/>
                <w:sz w:val="22"/>
                <w:szCs w:val="22"/>
              </w:rPr>
              <w:t>[</w:t>
            </w:r>
            <w:r w:rsidRPr="00DC491A">
              <w:rPr>
                <w:rStyle w:val="Hyperlink"/>
                <w:sz w:val="22"/>
                <w:szCs w:val="22"/>
                <w:u w:val="none"/>
              </w:rPr>
              <w:t>Project or System Name</w:t>
            </w:r>
            <w:r w:rsidRPr="00945C26">
              <w:rPr>
                <w:rStyle w:val="Hyperlink"/>
                <w:sz w:val="22"/>
                <w:szCs w:val="22"/>
              </w:rPr>
              <w:t>]</w:t>
            </w:r>
            <w:r w:rsidRPr="00945C26">
              <w:rPr>
                <w:sz w:val="22"/>
                <w:szCs w:val="22"/>
              </w:rPr>
              <w:t xml:space="preserve"> Project Manager</w:t>
            </w: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p>
        </w:tc>
        <w:tc>
          <w:tcPr>
            <w:tcW w:w="5220" w:type="dxa"/>
            <w:tcBorders>
              <w:top w:val="nil"/>
              <w:left w:val="nil"/>
              <w:bottom w:val="nil"/>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Signature:</w:t>
            </w:r>
          </w:p>
        </w:tc>
        <w:tc>
          <w:tcPr>
            <w:tcW w:w="5220" w:type="dxa"/>
            <w:tcBorders>
              <w:top w:val="nil"/>
              <w:left w:val="nil"/>
              <w:bottom w:val="single" w:sz="4" w:space="0" w:color="auto"/>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r w:rsidRPr="00945C26">
              <w:rPr>
                <w:sz w:val="22"/>
                <w:szCs w:val="22"/>
              </w:rPr>
              <w:t>Date:</w:t>
            </w:r>
          </w:p>
        </w:tc>
        <w:tc>
          <w:tcPr>
            <w:tcW w:w="1800" w:type="dxa"/>
            <w:tcBorders>
              <w:top w:val="nil"/>
              <w:left w:val="nil"/>
              <w:bottom w:val="single" w:sz="4" w:space="0" w:color="auto"/>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Print Name:</w:t>
            </w:r>
          </w:p>
        </w:tc>
        <w:tc>
          <w:tcPr>
            <w:tcW w:w="5220" w:type="dxa"/>
            <w:tcBorders>
              <w:top w:val="single" w:sz="4" w:space="0" w:color="auto"/>
              <w:left w:val="nil"/>
              <w:bottom w:val="single" w:sz="4" w:space="0" w:color="auto"/>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single" w:sz="4" w:space="0" w:color="auto"/>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Title:</w:t>
            </w:r>
          </w:p>
        </w:tc>
        <w:tc>
          <w:tcPr>
            <w:tcW w:w="5220" w:type="dxa"/>
            <w:tcBorders>
              <w:top w:val="single" w:sz="4" w:space="0" w:color="auto"/>
              <w:left w:val="nil"/>
              <w:bottom w:val="single" w:sz="4" w:space="0" w:color="auto"/>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Role:</w:t>
            </w:r>
          </w:p>
        </w:tc>
        <w:tc>
          <w:tcPr>
            <w:tcW w:w="5220" w:type="dxa"/>
            <w:tcBorders>
              <w:top w:val="single" w:sz="4" w:space="0" w:color="auto"/>
              <w:left w:val="nil"/>
              <w:bottom w:val="nil"/>
              <w:right w:val="nil"/>
            </w:tcBorders>
            <w:vAlign w:val="bottom"/>
          </w:tcPr>
          <w:p w:rsidR="00945C26" w:rsidRPr="00945C26" w:rsidRDefault="00945C26" w:rsidP="003F252E">
            <w:pPr>
              <w:spacing w:after="0"/>
            </w:pPr>
            <w:r w:rsidRPr="00945C26">
              <w:rPr>
                <w:rStyle w:val="Hyperlink"/>
                <w:sz w:val="22"/>
                <w:szCs w:val="22"/>
              </w:rPr>
              <w:t>[</w:t>
            </w:r>
            <w:r w:rsidRPr="00DC491A">
              <w:rPr>
                <w:rStyle w:val="Hyperlink"/>
                <w:sz w:val="22"/>
                <w:szCs w:val="22"/>
                <w:u w:val="none"/>
              </w:rPr>
              <w:t>Project or System Name</w:t>
            </w:r>
            <w:r w:rsidRPr="00945C26">
              <w:rPr>
                <w:rStyle w:val="Hyperlink"/>
                <w:sz w:val="22"/>
                <w:szCs w:val="22"/>
              </w:rPr>
              <w:t>]</w:t>
            </w:r>
            <w:r w:rsidRPr="00945C26">
              <w:rPr>
                <w:sz w:val="22"/>
                <w:szCs w:val="22"/>
              </w:rPr>
              <w:t xml:space="preserve"> Business Owner</w:t>
            </w: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p>
        </w:tc>
        <w:tc>
          <w:tcPr>
            <w:tcW w:w="5220" w:type="dxa"/>
            <w:tcBorders>
              <w:top w:val="nil"/>
              <w:left w:val="nil"/>
              <w:bottom w:val="nil"/>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Signature:</w:t>
            </w:r>
          </w:p>
        </w:tc>
        <w:tc>
          <w:tcPr>
            <w:tcW w:w="5220" w:type="dxa"/>
            <w:tcBorders>
              <w:top w:val="nil"/>
              <w:left w:val="nil"/>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r w:rsidRPr="00945C26">
              <w:rPr>
                <w:sz w:val="22"/>
                <w:szCs w:val="22"/>
              </w:rPr>
              <w:t>Date:</w:t>
            </w:r>
          </w:p>
        </w:tc>
        <w:tc>
          <w:tcPr>
            <w:tcW w:w="1800" w:type="dxa"/>
            <w:tcBorders>
              <w:top w:val="nil"/>
              <w:left w:val="nil"/>
              <w:bottom w:val="single" w:sz="4" w:space="0" w:color="auto"/>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Print Name:</w:t>
            </w:r>
          </w:p>
        </w:tc>
        <w:tc>
          <w:tcPr>
            <w:tcW w:w="5220" w:type="dxa"/>
            <w:tcBorders>
              <w:left w:val="nil"/>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single" w:sz="4" w:space="0" w:color="auto"/>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Title:</w:t>
            </w:r>
          </w:p>
        </w:tc>
        <w:tc>
          <w:tcPr>
            <w:tcW w:w="5220" w:type="dxa"/>
            <w:tcBorders>
              <w:left w:val="nil"/>
              <w:bottom w:val="single" w:sz="4" w:space="0" w:color="auto"/>
              <w:right w:val="nil"/>
            </w:tcBorders>
            <w:vAlign w:val="bottom"/>
          </w:tcPr>
          <w:p w:rsidR="00945C26" w:rsidRPr="00945C26" w:rsidRDefault="00945C26" w:rsidP="003F252E">
            <w:pPr>
              <w:spacing w:after="0"/>
            </w:pP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r w:rsidR="00945C26" w:rsidRPr="00945C26" w:rsidTr="003F252E">
        <w:tc>
          <w:tcPr>
            <w:tcW w:w="1440" w:type="dxa"/>
            <w:tcBorders>
              <w:top w:val="nil"/>
              <w:left w:val="nil"/>
              <w:bottom w:val="nil"/>
              <w:right w:val="nil"/>
            </w:tcBorders>
            <w:vAlign w:val="bottom"/>
          </w:tcPr>
          <w:p w:rsidR="00945C26" w:rsidRPr="00945C26" w:rsidRDefault="00945C26" w:rsidP="003F252E">
            <w:pPr>
              <w:spacing w:after="0"/>
            </w:pPr>
            <w:r w:rsidRPr="00945C26">
              <w:rPr>
                <w:sz w:val="22"/>
                <w:szCs w:val="22"/>
              </w:rPr>
              <w:t>Role:</w:t>
            </w:r>
          </w:p>
        </w:tc>
        <w:tc>
          <w:tcPr>
            <w:tcW w:w="5220" w:type="dxa"/>
            <w:tcBorders>
              <w:left w:val="nil"/>
              <w:bottom w:val="nil"/>
              <w:right w:val="nil"/>
            </w:tcBorders>
            <w:vAlign w:val="bottom"/>
          </w:tcPr>
          <w:p w:rsidR="00945C26" w:rsidRPr="00945C26" w:rsidRDefault="00945C26" w:rsidP="003F252E">
            <w:pPr>
              <w:spacing w:after="0"/>
            </w:pPr>
            <w:r w:rsidRPr="00945C26">
              <w:rPr>
                <w:sz w:val="22"/>
                <w:szCs w:val="22"/>
              </w:rPr>
              <w:t>Organization’s Approving Authority</w:t>
            </w:r>
          </w:p>
        </w:tc>
        <w:tc>
          <w:tcPr>
            <w:tcW w:w="900" w:type="dxa"/>
            <w:tcBorders>
              <w:top w:val="nil"/>
              <w:left w:val="nil"/>
              <w:bottom w:val="nil"/>
              <w:right w:val="nil"/>
            </w:tcBorders>
            <w:vAlign w:val="bottom"/>
          </w:tcPr>
          <w:p w:rsidR="00945C26" w:rsidRPr="00945C26" w:rsidRDefault="00945C26" w:rsidP="003F252E">
            <w:pPr>
              <w:spacing w:after="0"/>
            </w:pPr>
          </w:p>
        </w:tc>
        <w:tc>
          <w:tcPr>
            <w:tcW w:w="1800" w:type="dxa"/>
            <w:tcBorders>
              <w:top w:val="nil"/>
              <w:left w:val="nil"/>
              <w:bottom w:val="nil"/>
              <w:right w:val="nil"/>
            </w:tcBorders>
            <w:vAlign w:val="bottom"/>
          </w:tcPr>
          <w:p w:rsidR="00945C26" w:rsidRPr="00945C26" w:rsidRDefault="00945C26" w:rsidP="003F252E">
            <w:pPr>
              <w:spacing w:after="0"/>
            </w:pPr>
          </w:p>
        </w:tc>
      </w:tr>
    </w:tbl>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p w:rsidR="00945C26" w:rsidRDefault="00945C26" w:rsidP="00BC5C8C">
      <w:pPr>
        <w:autoSpaceDE w:val="0"/>
        <w:autoSpaceDN w:val="0"/>
        <w:adjustRightInd w:val="0"/>
        <w:rPr>
          <w:rFonts w:ascii="Arial" w:hAnsi="Arial" w:cs="TimesNewRomanPS"/>
          <w:sz w:val="22"/>
          <w:szCs w:val="22"/>
        </w:rPr>
      </w:pPr>
    </w:p>
    <w:sectPr w:rsidR="00945C26" w:rsidSect="002E0764">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57D" w:rsidRDefault="0064357D" w:rsidP="00B826DE">
      <w:r>
        <w:separator/>
      </w:r>
    </w:p>
    <w:p w:rsidR="0064357D" w:rsidRDefault="0064357D" w:rsidP="00B826DE"/>
  </w:endnote>
  <w:endnote w:type="continuationSeparator" w:id="0">
    <w:p w:rsidR="0064357D" w:rsidRDefault="0064357D" w:rsidP="00B826DE">
      <w:r>
        <w:continuationSeparator/>
      </w:r>
    </w:p>
    <w:p w:rsidR="0064357D" w:rsidRDefault="0064357D" w:rsidP="00B826D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TimesNewRomanPS-Bold">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EDF" w:rsidRDefault="0064357D">
    <w:pPr>
      <w:pStyle w:val="Footer"/>
    </w:pPr>
    <w:r>
      <w:t>FNS Alternative Analysis Template</w:t>
    </w:r>
    <w:r>
      <w:tab/>
    </w:r>
    <w:r w:rsidR="00945C26">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0300E4" w:rsidRPr="00F60CC5">
      <w:rPr>
        <w:sz w:val="22"/>
        <w:szCs w:val="22"/>
      </w:rPr>
      <w:fldChar w:fldCharType="begin"/>
    </w:r>
    <w:r w:rsidRPr="00F60CC5">
      <w:rPr>
        <w:sz w:val="22"/>
        <w:szCs w:val="22"/>
      </w:rPr>
      <w:instrText xml:space="preserve"> PAGE   \* MERGEFORMAT </w:instrText>
    </w:r>
    <w:r w:rsidR="000300E4" w:rsidRPr="00F60CC5">
      <w:rPr>
        <w:sz w:val="22"/>
        <w:szCs w:val="22"/>
      </w:rPr>
      <w:fldChar w:fldCharType="separate"/>
    </w:r>
    <w:r w:rsidR="00DC491A" w:rsidRPr="00DC491A">
      <w:rPr>
        <w:noProof/>
      </w:rPr>
      <w:t>2</w:t>
    </w:r>
    <w:r w:rsidR="000300E4"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57D" w:rsidRPr="00B23247" w:rsidRDefault="0064357D" w:rsidP="00B23247">
    <w:pPr>
      <w:pStyle w:val="Footer"/>
      <w:rPr>
        <w:sz w:val="22"/>
        <w:szCs w:val="22"/>
      </w:rPr>
    </w:pPr>
    <w:r>
      <w:t>FNS Alternative Analysis Template</w:t>
    </w:r>
    <w:r>
      <w:tab/>
    </w:r>
    <w:r w:rsidR="00945C26">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0300E4" w:rsidRPr="00F60CC5">
      <w:rPr>
        <w:sz w:val="22"/>
        <w:szCs w:val="22"/>
      </w:rPr>
      <w:fldChar w:fldCharType="begin"/>
    </w:r>
    <w:r w:rsidRPr="00F60CC5">
      <w:rPr>
        <w:sz w:val="22"/>
        <w:szCs w:val="22"/>
      </w:rPr>
      <w:instrText xml:space="preserve"> PAGE   \* MERGEFORMAT </w:instrText>
    </w:r>
    <w:r w:rsidR="000300E4" w:rsidRPr="00F60CC5">
      <w:rPr>
        <w:sz w:val="22"/>
        <w:szCs w:val="22"/>
      </w:rPr>
      <w:fldChar w:fldCharType="separate"/>
    </w:r>
    <w:r w:rsidR="00DC491A" w:rsidRPr="00DC491A">
      <w:rPr>
        <w:noProof/>
      </w:rPr>
      <w:t>3</w:t>
    </w:r>
    <w:r w:rsidR="000300E4" w:rsidRPr="00F60CC5">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57D" w:rsidRDefault="0064357D" w:rsidP="00B826DE">
      <w:r>
        <w:separator/>
      </w:r>
    </w:p>
    <w:p w:rsidR="0064357D" w:rsidRDefault="0064357D" w:rsidP="00B826DE"/>
  </w:footnote>
  <w:footnote w:type="continuationSeparator" w:id="0">
    <w:p w:rsidR="0064357D" w:rsidRDefault="0064357D" w:rsidP="00B826DE">
      <w:r>
        <w:continuationSeparator/>
      </w:r>
    </w:p>
    <w:p w:rsidR="0064357D" w:rsidRDefault="0064357D"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EDF" w:rsidRDefault="0064357D">
    <w:pPr>
      <w:pStyle w:val="Header"/>
    </w:pPr>
    <w:r w:rsidRPr="005F2EFC">
      <w:rPr>
        <w:noProof/>
        <w:u w:val="single"/>
      </w:rPr>
      <w:drawing>
        <wp:inline distT="0" distB="0" distL="0" distR="0">
          <wp:extent cx="2143125" cy="28575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w:t>
    </w:r>
    <w:r>
      <w:rPr>
        <w:u w:val="single"/>
      </w:rPr>
      <w:tab/>
      <w:t>FNS Alternative Analysis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57D" w:rsidRPr="005F2EFC" w:rsidRDefault="0064357D" w:rsidP="005F2EFC">
    <w:pPr>
      <w:pStyle w:val="Header"/>
      <w:rPr>
        <w:u w:val="single"/>
      </w:rPr>
    </w:pPr>
    <w:r w:rsidRPr="005F2EFC">
      <w:rPr>
        <w:noProof/>
        <w:u w:val="single"/>
      </w:rPr>
      <w:drawing>
        <wp:inline distT="0" distB="0" distL="0" distR="0">
          <wp:extent cx="2143125" cy="28575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Alternative Analysis Template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D3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0D4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774314"/>
    <w:multiLevelType w:val="hybridMultilevel"/>
    <w:tmpl w:val="50EA71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BD166F"/>
    <w:multiLevelType w:val="hybridMultilevel"/>
    <w:tmpl w:val="CFC2CF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217274"/>
    <w:multiLevelType w:val="hybridMultilevel"/>
    <w:tmpl w:val="3E04A37E"/>
    <w:lvl w:ilvl="0" w:tplc="AF82C3A6">
      <w:start w:val="1"/>
      <w:numFmt w:val="decimal"/>
      <w:lvlText w:val="%1."/>
      <w:lvlJc w:val="left"/>
      <w:pPr>
        <w:tabs>
          <w:tab w:val="num" w:pos="720"/>
        </w:tabs>
        <w:ind w:left="720" w:hanging="360"/>
      </w:pPr>
      <w:rPr>
        <w:rFonts w:ascii="Arial Narrow" w:hAnsi="Arial Narrow" w:cs="Times New Roman" w:hint="default"/>
        <w:b w:val="0"/>
        <w:i w:val="0"/>
        <w:color w:val="auto"/>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40751BEE"/>
    <w:multiLevelType w:val="hybridMultilevel"/>
    <w:tmpl w:val="52E446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505A23"/>
    <w:multiLevelType w:val="hybridMultilevel"/>
    <w:tmpl w:val="A55406B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B198A348">
      <w:start w:val="1"/>
      <w:numFmt w:val="decimal"/>
      <w:lvlText w:val="%3"/>
      <w:lvlJc w:val="left"/>
      <w:pPr>
        <w:ind w:left="2370" w:hanging="39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6C06BB6"/>
    <w:multiLevelType w:val="hybridMultilevel"/>
    <w:tmpl w:val="E188B154"/>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0BB6717"/>
    <w:multiLevelType w:val="hybridMultilevel"/>
    <w:tmpl w:val="63588E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CD2D9A"/>
    <w:multiLevelType w:val="multilevel"/>
    <w:tmpl w:val="64244D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58940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89346A0"/>
    <w:multiLevelType w:val="multilevel"/>
    <w:tmpl w:val="19983A1C"/>
    <w:lvl w:ilvl="0">
      <w:start w:val="1"/>
      <w:numFmt w:val="decimal"/>
      <w:lvlText w:val="%1.0"/>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5AAE0FFE"/>
    <w:multiLevelType w:val="hybridMultilevel"/>
    <w:tmpl w:val="974A96E6"/>
    <w:lvl w:ilvl="0" w:tplc="738C3492">
      <w:start w:val="1"/>
      <w:numFmt w:val="decimal"/>
      <w:lvlText w:val="%1."/>
      <w:lvlJc w:val="left"/>
      <w:pPr>
        <w:tabs>
          <w:tab w:val="num" w:pos="720"/>
        </w:tabs>
        <w:ind w:left="720" w:hanging="360"/>
      </w:pPr>
      <w:rPr>
        <w:rFonts w:ascii="Arial Narrow" w:hAnsi="Arial Narrow" w:cs="Times New Roman" w:hint="default"/>
        <w:b w:val="0"/>
        <w:i w:val="0"/>
        <w:color w:val="0000FF"/>
        <w:sz w:val="22"/>
        <w:szCs w:val="22"/>
      </w:rPr>
    </w:lvl>
    <w:lvl w:ilvl="1" w:tplc="3092ABFE">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5E702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04D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743F2C"/>
    <w:multiLevelType w:val="hybridMultilevel"/>
    <w:tmpl w:val="6EC89214"/>
    <w:lvl w:ilvl="0" w:tplc="826A86E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2C6074"/>
    <w:multiLevelType w:val="hybridMultilevel"/>
    <w:tmpl w:val="F5F20EA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67980F59"/>
    <w:multiLevelType w:val="hybridMultilevel"/>
    <w:tmpl w:val="094890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80124F"/>
    <w:multiLevelType w:val="hybridMultilevel"/>
    <w:tmpl w:val="342CCD4E"/>
    <w:lvl w:ilvl="0" w:tplc="04090001">
      <w:start w:val="1"/>
      <w:numFmt w:val="bullet"/>
      <w:lvlText w:val=""/>
      <w:lvlJc w:val="left"/>
      <w:pPr>
        <w:tabs>
          <w:tab w:val="num" w:pos="1296"/>
        </w:tabs>
        <w:ind w:left="1296"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6E476593"/>
    <w:multiLevelType w:val="multilevel"/>
    <w:tmpl w:val="68A027E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FE41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010B38"/>
    <w:multiLevelType w:val="hybridMultilevel"/>
    <w:tmpl w:val="464EA2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6F07CC"/>
    <w:multiLevelType w:val="multilevel"/>
    <w:tmpl w:val="32065FEA"/>
    <w:lvl w:ilvl="0">
      <w:start w:val="1"/>
      <w:numFmt w:val="decimal"/>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10"/>
  </w:num>
  <w:num w:numId="4">
    <w:abstractNumId w:val="21"/>
  </w:num>
  <w:num w:numId="5">
    <w:abstractNumId w:val="8"/>
  </w:num>
  <w:num w:numId="6">
    <w:abstractNumId w:val="2"/>
  </w:num>
  <w:num w:numId="7">
    <w:abstractNumId w:val="5"/>
  </w:num>
  <w:num w:numId="8">
    <w:abstractNumId w:val="17"/>
  </w:num>
  <w:num w:numId="9">
    <w:abstractNumId w:val="3"/>
  </w:num>
  <w:num w:numId="10">
    <w:abstractNumId w:val="18"/>
  </w:num>
  <w:num w:numId="11">
    <w:abstractNumId w:val="16"/>
  </w:num>
  <w:num w:numId="12">
    <w:abstractNumId w:val="4"/>
  </w:num>
  <w:num w:numId="13">
    <w:abstractNumId w:val="7"/>
  </w:num>
  <w:num w:numId="14">
    <w:abstractNumId w:val="20"/>
  </w:num>
  <w:num w:numId="15">
    <w:abstractNumId w:val="11"/>
  </w:num>
  <w:num w:numId="16">
    <w:abstractNumId w:val="11"/>
  </w:num>
  <w:num w:numId="17">
    <w:abstractNumId w:val="15"/>
  </w:num>
  <w:num w:numId="18">
    <w:abstractNumId w:val="15"/>
  </w:num>
  <w:num w:numId="19">
    <w:abstractNumId w:val="22"/>
  </w:num>
  <w:num w:numId="20">
    <w:abstractNumId w:val="0"/>
  </w:num>
  <w:num w:numId="21">
    <w:abstractNumId w:val="22"/>
  </w:num>
  <w:num w:numId="22">
    <w:abstractNumId w:val="22"/>
  </w:num>
  <w:num w:numId="23">
    <w:abstractNumId w:val="22"/>
  </w:num>
  <w:num w:numId="24">
    <w:abstractNumId w:val="13"/>
  </w:num>
  <w:num w:numId="25">
    <w:abstractNumId w:val="22"/>
  </w:num>
  <w:num w:numId="26">
    <w:abstractNumId w:val="9"/>
  </w:num>
  <w:num w:numId="27">
    <w:abstractNumId w:val="19"/>
  </w:num>
  <w:num w:numId="28">
    <w:abstractNumId w:val="19"/>
  </w:num>
  <w:num w:numId="29">
    <w:abstractNumId w:val="19"/>
  </w:num>
  <w:num w:numId="30">
    <w:abstractNumId w:val="14"/>
  </w:num>
  <w:num w:numId="31">
    <w:abstractNumId w:val="1"/>
  </w:num>
  <w:num w:numId="32">
    <w:abstractNumId w:val="1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6561"/>
  </w:hdrShapeDefaults>
  <w:footnotePr>
    <w:footnote w:id="-1"/>
    <w:footnote w:id="0"/>
  </w:footnotePr>
  <w:endnotePr>
    <w:endnote w:id="-1"/>
    <w:endnote w:id="0"/>
  </w:endnotePr>
  <w:compat/>
  <w:rsids>
    <w:rsidRoot w:val="00FF4BD7"/>
    <w:rsid w:val="000024E9"/>
    <w:rsid w:val="0000785D"/>
    <w:rsid w:val="00013B2B"/>
    <w:rsid w:val="0002007D"/>
    <w:rsid w:val="000206D5"/>
    <w:rsid w:val="000300E4"/>
    <w:rsid w:val="00040327"/>
    <w:rsid w:val="00041EF8"/>
    <w:rsid w:val="00042CB9"/>
    <w:rsid w:val="000456B4"/>
    <w:rsid w:val="0005011C"/>
    <w:rsid w:val="00053E64"/>
    <w:rsid w:val="00056BEB"/>
    <w:rsid w:val="000571B7"/>
    <w:rsid w:val="00061A33"/>
    <w:rsid w:val="00063B56"/>
    <w:rsid w:val="00074037"/>
    <w:rsid w:val="00074214"/>
    <w:rsid w:val="00074617"/>
    <w:rsid w:val="00077A1E"/>
    <w:rsid w:val="000852BD"/>
    <w:rsid w:val="00085650"/>
    <w:rsid w:val="000909F0"/>
    <w:rsid w:val="00093538"/>
    <w:rsid w:val="00095831"/>
    <w:rsid w:val="000A0A6E"/>
    <w:rsid w:val="000B0273"/>
    <w:rsid w:val="000B04CF"/>
    <w:rsid w:val="000B12CB"/>
    <w:rsid w:val="000B1E15"/>
    <w:rsid w:val="000B226D"/>
    <w:rsid w:val="000B760A"/>
    <w:rsid w:val="000C0159"/>
    <w:rsid w:val="000C544A"/>
    <w:rsid w:val="000D1301"/>
    <w:rsid w:val="000D2393"/>
    <w:rsid w:val="000E40AA"/>
    <w:rsid w:val="000E5FC1"/>
    <w:rsid w:val="000E7561"/>
    <w:rsid w:val="001044FF"/>
    <w:rsid w:val="0010476C"/>
    <w:rsid w:val="0011306E"/>
    <w:rsid w:val="00113499"/>
    <w:rsid w:val="001151AC"/>
    <w:rsid w:val="0011526A"/>
    <w:rsid w:val="00124C98"/>
    <w:rsid w:val="00133ADD"/>
    <w:rsid w:val="0014238E"/>
    <w:rsid w:val="0014370D"/>
    <w:rsid w:val="00160CD3"/>
    <w:rsid w:val="00162197"/>
    <w:rsid w:val="0016348F"/>
    <w:rsid w:val="00166A92"/>
    <w:rsid w:val="001726E9"/>
    <w:rsid w:val="0018133E"/>
    <w:rsid w:val="00184FAF"/>
    <w:rsid w:val="001870A2"/>
    <w:rsid w:val="00190A0B"/>
    <w:rsid w:val="00190DC2"/>
    <w:rsid w:val="00192BF7"/>
    <w:rsid w:val="0019787D"/>
    <w:rsid w:val="001A0045"/>
    <w:rsid w:val="001A39F1"/>
    <w:rsid w:val="001B2B9D"/>
    <w:rsid w:val="001B2F92"/>
    <w:rsid w:val="001B63A2"/>
    <w:rsid w:val="001B64E4"/>
    <w:rsid w:val="001C10F5"/>
    <w:rsid w:val="001C5BD2"/>
    <w:rsid w:val="001D6389"/>
    <w:rsid w:val="001E04D1"/>
    <w:rsid w:val="001F04BA"/>
    <w:rsid w:val="001F1119"/>
    <w:rsid w:val="001F708D"/>
    <w:rsid w:val="00202AF4"/>
    <w:rsid w:val="00204F57"/>
    <w:rsid w:val="00206715"/>
    <w:rsid w:val="00214EC1"/>
    <w:rsid w:val="00215B61"/>
    <w:rsid w:val="00221056"/>
    <w:rsid w:val="00222107"/>
    <w:rsid w:val="002240EA"/>
    <w:rsid w:val="00230432"/>
    <w:rsid w:val="00233228"/>
    <w:rsid w:val="00235AA0"/>
    <w:rsid w:val="002472BB"/>
    <w:rsid w:val="00247902"/>
    <w:rsid w:val="00253659"/>
    <w:rsid w:val="002564BA"/>
    <w:rsid w:val="00256659"/>
    <w:rsid w:val="00256DF6"/>
    <w:rsid w:val="0026601F"/>
    <w:rsid w:val="0027130F"/>
    <w:rsid w:val="00276891"/>
    <w:rsid w:val="00277EDF"/>
    <w:rsid w:val="00282329"/>
    <w:rsid w:val="002837C6"/>
    <w:rsid w:val="00291A19"/>
    <w:rsid w:val="00295A25"/>
    <w:rsid w:val="002A1693"/>
    <w:rsid w:val="002A31F2"/>
    <w:rsid w:val="002A6B60"/>
    <w:rsid w:val="002B2761"/>
    <w:rsid w:val="002C4DEF"/>
    <w:rsid w:val="002D37F0"/>
    <w:rsid w:val="002E0764"/>
    <w:rsid w:val="002E1165"/>
    <w:rsid w:val="002E70FB"/>
    <w:rsid w:val="002F2CD0"/>
    <w:rsid w:val="00301455"/>
    <w:rsid w:val="003054F9"/>
    <w:rsid w:val="003068D5"/>
    <w:rsid w:val="003146FD"/>
    <w:rsid w:val="00316B12"/>
    <w:rsid w:val="0032217C"/>
    <w:rsid w:val="00322ED6"/>
    <w:rsid w:val="0033099A"/>
    <w:rsid w:val="003362C9"/>
    <w:rsid w:val="00340F70"/>
    <w:rsid w:val="003423F3"/>
    <w:rsid w:val="003439D8"/>
    <w:rsid w:val="0034417C"/>
    <w:rsid w:val="003456EE"/>
    <w:rsid w:val="0035370A"/>
    <w:rsid w:val="0036739B"/>
    <w:rsid w:val="00367D58"/>
    <w:rsid w:val="003703BB"/>
    <w:rsid w:val="00371904"/>
    <w:rsid w:val="00373361"/>
    <w:rsid w:val="00373577"/>
    <w:rsid w:val="00374161"/>
    <w:rsid w:val="00377F40"/>
    <w:rsid w:val="00377FBD"/>
    <w:rsid w:val="003802F4"/>
    <w:rsid w:val="00381919"/>
    <w:rsid w:val="0038571D"/>
    <w:rsid w:val="0039178A"/>
    <w:rsid w:val="00392923"/>
    <w:rsid w:val="00394532"/>
    <w:rsid w:val="00394D3C"/>
    <w:rsid w:val="00395069"/>
    <w:rsid w:val="003A668B"/>
    <w:rsid w:val="003A7E59"/>
    <w:rsid w:val="003B0059"/>
    <w:rsid w:val="003B3671"/>
    <w:rsid w:val="003B3CDA"/>
    <w:rsid w:val="003C281E"/>
    <w:rsid w:val="003C73BF"/>
    <w:rsid w:val="003D0B21"/>
    <w:rsid w:val="003D5F01"/>
    <w:rsid w:val="003E3B3F"/>
    <w:rsid w:val="003E52F5"/>
    <w:rsid w:val="003E6D12"/>
    <w:rsid w:val="003F0340"/>
    <w:rsid w:val="003F6E7F"/>
    <w:rsid w:val="0040207E"/>
    <w:rsid w:val="00402413"/>
    <w:rsid w:val="00403EE4"/>
    <w:rsid w:val="00405CB0"/>
    <w:rsid w:val="00411C94"/>
    <w:rsid w:val="0041219F"/>
    <w:rsid w:val="00412D47"/>
    <w:rsid w:val="004172F6"/>
    <w:rsid w:val="00421E3E"/>
    <w:rsid w:val="00422B49"/>
    <w:rsid w:val="004332C7"/>
    <w:rsid w:val="00444A9B"/>
    <w:rsid w:val="00450253"/>
    <w:rsid w:val="004510AA"/>
    <w:rsid w:val="0045344C"/>
    <w:rsid w:val="00453EAF"/>
    <w:rsid w:val="0045684B"/>
    <w:rsid w:val="004618A0"/>
    <w:rsid w:val="00463AAE"/>
    <w:rsid w:val="004701D6"/>
    <w:rsid w:val="004717B4"/>
    <w:rsid w:val="004729EA"/>
    <w:rsid w:val="004746FE"/>
    <w:rsid w:val="00474F9B"/>
    <w:rsid w:val="004778BF"/>
    <w:rsid w:val="00481EAA"/>
    <w:rsid w:val="0048240B"/>
    <w:rsid w:val="00482C8B"/>
    <w:rsid w:val="004847F5"/>
    <w:rsid w:val="004867A0"/>
    <w:rsid w:val="00493B26"/>
    <w:rsid w:val="00494373"/>
    <w:rsid w:val="00496D5D"/>
    <w:rsid w:val="004A0820"/>
    <w:rsid w:val="004A460C"/>
    <w:rsid w:val="004A70BC"/>
    <w:rsid w:val="004A7B3B"/>
    <w:rsid w:val="004B5DE8"/>
    <w:rsid w:val="004B68A9"/>
    <w:rsid w:val="004B7A01"/>
    <w:rsid w:val="004C39B9"/>
    <w:rsid w:val="004C406D"/>
    <w:rsid w:val="004C4CCF"/>
    <w:rsid w:val="004D08FD"/>
    <w:rsid w:val="004D3F77"/>
    <w:rsid w:val="004D5B8A"/>
    <w:rsid w:val="004E0B2E"/>
    <w:rsid w:val="004E1952"/>
    <w:rsid w:val="004E1C1E"/>
    <w:rsid w:val="004E4F67"/>
    <w:rsid w:val="004E58EF"/>
    <w:rsid w:val="004F1300"/>
    <w:rsid w:val="004F1550"/>
    <w:rsid w:val="004F28E5"/>
    <w:rsid w:val="004F6F90"/>
    <w:rsid w:val="00504EF6"/>
    <w:rsid w:val="00506FF8"/>
    <w:rsid w:val="00511042"/>
    <w:rsid w:val="00511258"/>
    <w:rsid w:val="00513875"/>
    <w:rsid w:val="00522527"/>
    <w:rsid w:val="0052284F"/>
    <w:rsid w:val="005233DE"/>
    <w:rsid w:val="00526ECE"/>
    <w:rsid w:val="00527DC4"/>
    <w:rsid w:val="00530C14"/>
    <w:rsid w:val="005324CD"/>
    <w:rsid w:val="00534F8F"/>
    <w:rsid w:val="00534FDB"/>
    <w:rsid w:val="005366FD"/>
    <w:rsid w:val="0053673B"/>
    <w:rsid w:val="00545977"/>
    <w:rsid w:val="005502A1"/>
    <w:rsid w:val="005528EB"/>
    <w:rsid w:val="0056051A"/>
    <w:rsid w:val="0056350B"/>
    <w:rsid w:val="00564B66"/>
    <w:rsid w:val="00565427"/>
    <w:rsid w:val="005665D7"/>
    <w:rsid w:val="00571933"/>
    <w:rsid w:val="005730B5"/>
    <w:rsid w:val="005757E7"/>
    <w:rsid w:val="00575F50"/>
    <w:rsid w:val="00576C14"/>
    <w:rsid w:val="00580E37"/>
    <w:rsid w:val="005812C3"/>
    <w:rsid w:val="00587BB9"/>
    <w:rsid w:val="00590923"/>
    <w:rsid w:val="005A1501"/>
    <w:rsid w:val="005A4B97"/>
    <w:rsid w:val="005A727C"/>
    <w:rsid w:val="005B0F35"/>
    <w:rsid w:val="005B67B9"/>
    <w:rsid w:val="005C1E31"/>
    <w:rsid w:val="005C20DD"/>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163D"/>
    <w:rsid w:val="00622155"/>
    <w:rsid w:val="00624936"/>
    <w:rsid w:val="006403B7"/>
    <w:rsid w:val="00640464"/>
    <w:rsid w:val="0064357D"/>
    <w:rsid w:val="006463F3"/>
    <w:rsid w:val="00661D0B"/>
    <w:rsid w:val="006623BF"/>
    <w:rsid w:val="006645C0"/>
    <w:rsid w:val="006764F3"/>
    <w:rsid w:val="006774D6"/>
    <w:rsid w:val="0068230A"/>
    <w:rsid w:val="00684343"/>
    <w:rsid w:val="0069176D"/>
    <w:rsid w:val="00692CB2"/>
    <w:rsid w:val="00695576"/>
    <w:rsid w:val="00696701"/>
    <w:rsid w:val="006A1538"/>
    <w:rsid w:val="006A424C"/>
    <w:rsid w:val="006B0064"/>
    <w:rsid w:val="006B4D5B"/>
    <w:rsid w:val="006B6883"/>
    <w:rsid w:val="006C50C8"/>
    <w:rsid w:val="006D0557"/>
    <w:rsid w:val="006D4647"/>
    <w:rsid w:val="006E1601"/>
    <w:rsid w:val="006E239C"/>
    <w:rsid w:val="006E3A0A"/>
    <w:rsid w:val="006E3C40"/>
    <w:rsid w:val="006E495F"/>
    <w:rsid w:val="006E4C26"/>
    <w:rsid w:val="006F0BEA"/>
    <w:rsid w:val="006F1D2D"/>
    <w:rsid w:val="006F240D"/>
    <w:rsid w:val="006F2BFE"/>
    <w:rsid w:val="006F47C2"/>
    <w:rsid w:val="0070147C"/>
    <w:rsid w:val="00703F9F"/>
    <w:rsid w:val="00704F09"/>
    <w:rsid w:val="00710049"/>
    <w:rsid w:val="00710624"/>
    <w:rsid w:val="00712D37"/>
    <w:rsid w:val="007134EE"/>
    <w:rsid w:val="00714E4C"/>
    <w:rsid w:val="007221A5"/>
    <w:rsid w:val="007343F3"/>
    <w:rsid w:val="00734C4C"/>
    <w:rsid w:val="00735A31"/>
    <w:rsid w:val="00735A9A"/>
    <w:rsid w:val="00736AB7"/>
    <w:rsid w:val="007476A7"/>
    <w:rsid w:val="00762FE6"/>
    <w:rsid w:val="0076326B"/>
    <w:rsid w:val="007645F4"/>
    <w:rsid w:val="007673B4"/>
    <w:rsid w:val="007735CA"/>
    <w:rsid w:val="00774475"/>
    <w:rsid w:val="00776041"/>
    <w:rsid w:val="00780BE0"/>
    <w:rsid w:val="0078249E"/>
    <w:rsid w:val="007845DE"/>
    <w:rsid w:val="0078555B"/>
    <w:rsid w:val="0078564D"/>
    <w:rsid w:val="00785E9F"/>
    <w:rsid w:val="00786A57"/>
    <w:rsid w:val="007900E2"/>
    <w:rsid w:val="0079227C"/>
    <w:rsid w:val="00796552"/>
    <w:rsid w:val="007A2A8F"/>
    <w:rsid w:val="007B3D03"/>
    <w:rsid w:val="007C1D82"/>
    <w:rsid w:val="007C503B"/>
    <w:rsid w:val="007D0A16"/>
    <w:rsid w:val="007D4D5F"/>
    <w:rsid w:val="007D6641"/>
    <w:rsid w:val="007E0534"/>
    <w:rsid w:val="007E07EB"/>
    <w:rsid w:val="007E4BB2"/>
    <w:rsid w:val="007E5EC8"/>
    <w:rsid w:val="007F19E8"/>
    <w:rsid w:val="007F25C8"/>
    <w:rsid w:val="007F2887"/>
    <w:rsid w:val="007F4322"/>
    <w:rsid w:val="00813AA2"/>
    <w:rsid w:val="00815921"/>
    <w:rsid w:val="00820714"/>
    <w:rsid w:val="00821BA5"/>
    <w:rsid w:val="0082447E"/>
    <w:rsid w:val="00826FCB"/>
    <w:rsid w:val="00843936"/>
    <w:rsid w:val="00847C43"/>
    <w:rsid w:val="0085304E"/>
    <w:rsid w:val="00855ED0"/>
    <w:rsid w:val="00856C1B"/>
    <w:rsid w:val="00866A99"/>
    <w:rsid w:val="00872BBB"/>
    <w:rsid w:val="00874874"/>
    <w:rsid w:val="0088256D"/>
    <w:rsid w:val="00883673"/>
    <w:rsid w:val="008842E2"/>
    <w:rsid w:val="00885D49"/>
    <w:rsid w:val="00887104"/>
    <w:rsid w:val="00895930"/>
    <w:rsid w:val="00896697"/>
    <w:rsid w:val="008A0A04"/>
    <w:rsid w:val="008A0C0B"/>
    <w:rsid w:val="008A3BD4"/>
    <w:rsid w:val="008A6DD9"/>
    <w:rsid w:val="008B4E85"/>
    <w:rsid w:val="008B756E"/>
    <w:rsid w:val="008C11FE"/>
    <w:rsid w:val="008C232B"/>
    <w:rsid w:val="008C4D54"/>
    <w:rsid w:val="008C555B"/>
    <w:rsid w:val="008C5BFA"/>
    <w:rsid w:val="008C6432"/>
    <w:rsid w:val="008D24D5"/>
    <w:rsid w:val="008D422E"/>
    <w:rsid w:val="008D6304"/>
    <w:rsid w:val="008D69F0"/>
    <w:rsid w:val="008F01D5"/>
    <w:rsid w:val="008F08AF"/>
    <w:rsid w:val="008F3021"/>
    <w:rsid w:val="008F722B"/>
    <w:rsid w:val="008F749D"/>
    <w:rsid w:val="008F7747"/>
    <w:rsid w:val="00910691"/>
    <w:rsid w:val="00922B91"/>
    <w:rsid w:val="00935DE9"/>
    <w:rsid w:val="00936FE0"/>
    <w:rsid w:val="009371F0"/>
    <w:rsid w:val="00945C26"/>
    <w:rsid w:val="009460CE"/>
    <w:rsid w:val="00951C4E"/>
    <w:rsid w:val="00954140"/>
    <w:rsid w:val="009543A9"/>
    <w:rsid w:val="009548A6"/>
    <w:rsid w:val="00954C26"/>
    <w:rsid w:val="009608EE"/>
    <w:rsid w:val="0096753D"/>
    <w:rsid w:val="00971080"/>
    <w:rsid w:val="009713B4"/>
    <w:rsid w:val="0097182B"/>
    <w:rsid w:val="00973152"/>
    <w:rsid w:val="00973227"/>
    <w:rsid w:val="00982B5E"/>
    <w:rsid w:val="00983B6C"/>
    <w:rsid w:val="00985426"/>
    <w:rsid w:val="00986C71"/>
    <w:rsid w:val="00986CDB"/>
    <w:rsid w:val="0098705C"/>
    <w:rsid w:val="0098719B"/>
    <w:rsid w:val="009903D0"/>
    <w:rsid w:val="00992265"/>
    <w:rsid w:val="009A19F4"/>
    <w:rsid w:val="009A4664"/>
    <w:rsid w:val="009A4E7C"/>
    <w:rsid w:val="009A5B1C"/>
    <w:rsid w:val="009A7A48"/>
    <w:rsid w:val="009C0181"/>
    <w:rsid w:val="009C0914"/>
    <w:rsid w:val="009C647E"/>
    <w:rsid w:val="009C6D67"/>
    <w:rsid w:val="009C7DCD"/>
    <w:rsid w:val="009E0780"/>
    <w:rsid w:val="009E416E"/>
    <w:rsid w:val="009F0EBE"/>
    <w:rsid w:val="009F1038"/>
    <w:rsid w:val="009F3976"/>
    <w:rsid w:val="009F62BC"/>
    <w:rsid w:val="00A01F03"/>
    <w:rsid w:val="00A03074"/>
    <w:rsid w:val="00A04540"/>
    <w:rsid w:val="00A04692"/>
    <w:rsid w:val="00A07002"/>
    <w:rsid w:val="00A11A9A"/>
    <w:rsid w:val="00A14418"/>
    <w:rsid w:val="00A14EE9"/>
    <w:rsid w:val="00A15159"/>
    <w:rsid w:val="00A15E33"/>
    <w:rsid w:val="00A21478"/>
    <w:rsid w:val="00A2716E"/>
    <w:rsid w:val="00A333C4"/>
    <w:rsid w:val="00A34BCE"/>
    <w:rsid w:val="00A367EF"/>
    <w:rsid w:val="00A40994"/>
    <w:rsid w:val="00A40FE5"/>
    <w:rsid w:val="00A4543D"/>
    <w:rsid w:val="00A456DB"/>
    <w:rsid w:val="00A500C9"/>
    <w:rsid w:val="00A53933"/>
    <w:rsid w:val="00A6227E"/>
    <w:rsid w:val="00A7190E"/>
    <w:rsid w:val="00A734D6"/>
    <w:rsid w:val="00A76B9A"/>
    <w:rsid w:val="00A84D47"/>
    <w:rsid w:val="00A915AE"/>
    <w:rsid w:val="00A946D6"/>
    <w:rsid w:val="00A974BD"/>
    <w:rsid w:val="00AA32BC"/>
    <w:rsid w:val="00AA3A51"/>
    <w:rsid w:val="00AA3F05"/>
    <w:rsid w:val="00AA53C5"/>
    <w:rsid w:val="00AA585F"/>
    <w:rsid w:val="00AB239E"/>
    <w:rsid w:val="00AC00C2"/>
    <w:rsid w:val="00AC3693"/>
    <w:rsid w:val="00AD01F4"/>
    <w:rsid w:val="00AD6180"/>
    <w:rsid w:val="00AE0940"/>
    <w:rsid w:val="00AE3E8F"/>
    <w:rsid w:val="00AE5F26"/>
    <w:rsid w:val="00AE68CF"/>
    <w:rsid w:val="00AF0568"/>
    <w:rsid w:val="00AF76D8"/>
    <w:rsid w:val="00B01D18"/>
    <w:rsid w:val="00B11836"/>
    <w:rsid w:val="00B12460"/>
    <w:rsid w:val="00B13E30"/>
    <w:rsid w:val="00B16223"/>
    <w:rsid w:val="00B218C5"/>
    <w:rsid w:val="00B22D6C"/>
    <w:rsid w:val="00B23247"/>
    <w:rsid w:val="00B2429C"/>
    <w:rsid w:val="00B33397"/>
    <w:rsid w:val="00B35907"/>
    <w:rsid w:val="00B3651D"/>
    <w:rsid w:val="00B3657C"/>
    <w:rsid w:val="00B37491"/>
    <w:rsid w:val="00B47A98"/>
    <w:rsid w:val="00B554B7"/>
    <w:rsid w:val="00B64FFF"/>
    <w:rsid w:val="00B773F4"/>
    <w:rsid w:val="00B80281"/>
    <w:rsid w:val="00B826DE"/>
    <w:rsid w:val="00B8645D"/>
    <w:rsid w:val="00B908C8"/>
    <w:rsid w:val="00B91BA7"/>
    <w:rsid w:val="00B92040"/>
    <w:rsid w:val="00B939B7"/>
    <w:rsid w:val="00B9692D"/>
    <w:rsid w:val="00B96DCE"/>
    <w:rsid w:val="00B974FA"/>
    <w:rsid w:val="00B9775C"/>
    <w:rsid w:val="00BA503D"/>
    <w:rsid w:val="00BA7E40"/>
    <w:rsid w:val="00BB1690"/>
    <w:rsid w:val="00BB1DCC"/>
    <w:rsid w:val="00BB67A6"/>
    <w:rsid w:val="00BC3FCA"/>
    <w:rsid w:val="00BC4FBB"/>
    <w:rsid w:val="00BC5130"/>
    <w:rsid w:val="00BC5C8C"/>
    <w:rsid w:val="00BD0061"/>
    <w:rsid w:val="00BD0932"/>
    <w:rsid w:val="00BD70C4"/>
    <w:rsid w:val="00BE369F"/>
    <w:rsid w:val="00BE5275"/>
    <w:rsid w:val="00BE5D03"/>
    <w:rsid w:val="00BF6AB1"/>
    <w:rsid w:val="00C01EC2"/>
    <w:rsid w:val="00C071FA"/>
    <w:rsid w:val="00C07BB0"/>
    <w:rsid w:val="00C07E6D"/>
    <w:rsid w:val="00C17764"/>
    <w:rsid w:val="00C2207F"/>
    <w:rsid w:val="00C22220"/>
    <w:rsid w:val="00C515F1"/>
    <w:rsid w:val="00C61B81"/>
    <w:rsid w:val="00C6478C"/>
    <w:rsid w:val="00C65B0A"/>
    <w:rsid w:val="00C71824"/>
    <w:rsid w:val="00C718EE"/>
    <w:rsid w:val="00C853DA"/>
    <w:rsid w:val="00C8734A"/>
    <w:rsid w:val="00C91111"/>
    <w:rsid w:val="00C92921"/>
    <w:rsid w:val="00C93757"/>
    <w:rsid w:val="00C95653"/>
    <w:rsid w:val="00C967F3"/>
    <w:rsid w:val="00CA2205"/>
    <w:rsid w:val="00CA239D"/>
    <w:rsid w:val="00CA4354"/>
    <w:rsid w:val="00CA6FD5"/>
    <w:rsid w:val="00CB23D7"/>
    <w:rsid w:val="00CB43EF"/>
    <w:rsid w:val="00CB46B3"/>
    <w:rsid w:val="00CB4BB6"/>
    <w:rsid w:val="00CB4CFB"/>
    <w:rsid w:val="00CB6C6C"/>
    <w:rsid w:val="00CC1207"/>
    <w:rsid w:val="00CC7DEC"/>
    <w:rsid w:val="00CD4896"/>
    <w:rsid w:val="00CE3B8C"/>
    <w:rsid w:val="00CF55A4"/>
    <w:rsid w:val="00CF5F12"/>
    <w:rsid w:val="00D05646"/>
    <w:rsid w:val="00D14B5A"/>
    <w:rsid w:val="00D2202E"/>
    <w:rsid w:val="00D24B33"/>
    <w:rsid w:val="00D24C5D"/>
    <w:rsid w:val="00D2646C"/>
    <w:rsid w:val="00D26F38"/>
    <w:rsid w:val="00D3489F"/>
    <w:rsid w:val="00D34FCF"/>
    <w:rsid w:val="00D3699D"/>
    <w:rsid w:val="00D42C9C"/>
    <w:rsid w:val="00D45613"/>
    <w:rsid w:val="00D460B8"/>
    <w:rsid w:val="00D46499"/>
    <w:rsid w:val="00D472E0"/>
    <w:rsid w:val="00D52EB5"/>
    <w:rsid w:val="00D561A2"/>
    <w:rsid w:val="00D604B4"/>
    <w:rsid w:val="00D6377B"/>
    <w:rsid w:val="00D710B0"/>
    <w:rsid w:val="00D80145"/>
    <w:rsid w:val="00D80461"/>
    <w:rsid w:val="00D81AE0"/>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491A"/>
    <w:rsid w:val="00DC5612"/>
    <w:rsid w:val="00DD204A"/>
    <w:rsid w:val="00DD56B2"/>
    <w:rsid w:val="00DD6D7F"/>
    <w:rsid w:val="00DE1FCC"/>
    <w:rsid w:val="00DE2E72"/>
    <w:rsid w:val="00DE3A7C"/>
    <w:rsid w:val="00DF1FEC"/>
    <w:rsid w:val="00DF377A"/>
    <w:rsid w:val="00DF45C2"/>
    <w:rsid w:val="00DF70FC"/>
    <w:rsid w:val="00E03EAD"/>
    <w:rsid w:val="00E10A65"/>
    <w:rsid w:val="00E13BE2"/>
    <w:rsid w:val="00E165BE"/>
    <w:rsid w:val="00E17189"/>
    <w:rsid w:val="00E179A7"/>
    <w:rsid w:val="00E248FD"/>
    <w:rsid w:val="00E32231"/>
    <w:rsid w:val="00E326D8"/>
    <w:rsid w:val="00E3692D"/>
    <w:rsid w:val="00E36A61"/>
    <w:rsid w:val="00E3774C"/>
    <w:rsid w:val="00E50CD4"/>
    <w:rsid w:val="00E55341"/>
    <w:rsid w:val="00E560EA"/>
    <w:rsid w:val="00E610E3"/>
    <w:rsid w:val="00E62E38"/>
    <w:rsid w:val="00E63A9B"/>
    <w:rsid w:val="00E65BF4"/>
    <w:rsid w:val="00E675C1"/>
    <w:rsid w:val="00E74270"/>
    <w:rsid w:val="00E842C0"/>
    <w:rsid w:val="00E8725A"/>
    <w:rsid w:val="00E92220"/>
    <w:rsid w:val="00E95E76"/>
    <w:rsid w:val="00EA17B4"/>
    <w:rsid w:val="00EB374A"/>
    <w:rsid w:val="00EB4150"/>
    <w:rsid w:val="00EB7530"/>
    <w:rsid w:val="00EC10EC"/>
    <w:rsid w:val="00EC1B9B"/>
    <w:rsid w:val="00EC484C"/>
    <w:rsid w:val="00EC68F9"/>
    <w:rsid w:val="00ED02B3"/>
    <w:rsid w:val="00ED0384"/>
    <w:rsid w:val="00ED1621"/>
    <w:rsid w:val="00ED16CF"/>
    <w:rsid w:val="00ED1718"/>
    <w:rsid w:val="00ED6B53"/>
    <w:rsid w:val="00EE099F"/>
    <w:rsid w:val="00EE30F7"/>
    <w:rsid w:val="00EE7396"/>
    <w:rsid w:val="00EF462E"/>
    <w:rsid w:val="00EF558F"/>
    <w:rsid w:val="00EF709D"/>
    <w:rsid w:val="00EF7BC2"/>
    <w:rsid w:val="00F045FE"/>
    <w:rsid w:val="00F04BAB"/>
    <w:rsid w:val="00F13171"/>
    <w:rsid w:val="00F14159"/>
    <w:rsid w:val="00F16D0B"/>
    <w:rsid w:val="00F17385"/>
    <w:rsid w:val="00F20364"/>
    <w:rsid w:val="00F264F7"/>
    <w:rsid w:val="00F32404"/>
    <w:rsid w:val="00F32E49"/>
    <w:rsid w:val="00F33A28"/>
    <w:rsid w:val="00F34CF6"/>
    <w:rsid w:val="00F40E78"/>
    <w:rsid w:val="00F522E1"/>
    <w:rsid w:val="00F5737A"/>
    <w:rsid w:val="00F577FD"/>
    <w:rsid w:val="00F60CC5"/>
    <w:rsid w:val="00F64F2E"/>
    <w:rsid w:val="00F7425D"/>
    <w:rsid w:val="00F76BF8"/>
    <w:rsid w:val="00F81212"/>
    <w:rsid w:val="00F81F21"/>
    <w:rsid w:val="00F91F8D"/>
    <w:rsid w:val="00FA1C60"/>
    <w:rsid w:val="00FB230C"/>
    <w:rsid w:val="00FB6367"/>
    <w:rsid w:val="00FB776A"/>
    <w:rsid w:val="00FC4BD3"/>
    <w:rsid w:val="00FC7C03"/>
    <w:rsid w:val="00FD349D"/>
    <w:rsid w:val="00FE16B9"/>
    <w:rsid w:val="00FE2447"/>
    <w:rsid w:val="00FE2ADA"/>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65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autoRedefine/>
    <w:uiPriority w:val="9"/>
    <w:qFormat/>
    <w:rsid w:val="00214EC1"/>
    <w:pPr>
      <w:keepNext/>
      <w:keepLines/>
      <w:spacing w:after="240"/>
      <w:outlineLvl w:val="0"/>
    </w:pPr>
    <w:rPr>
      <w:rFonts w:ascii="Arial" w:eastAsiaTheme="majorEastAsia" w:hAnsi="Arial" w:cstheme="majorBidi"/>
      <w:b/>
      <w:bCs/>
      <w:noProof/>
      <w:szCs w:val="28"/>
    </w:rPr>
  </w:style>
  <w:style w:type="paragraph" w:styleId="Heading2">
    <w:name w:val="heading 2"/>
    <w:basedOn w:val="Normal"/>
    <w:next w:val="Normal"/>
    <w:link w:val="Heading2Char"/>
    <w:uiPriority w:val="9"/>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aliases w:val="h,Header/Footer,header odd,Hyphen,NCDOT 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aliases w:val="h Char,Header/Footer Char,header odd Char,Hyphen Char,NCDOT 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214EC1"/>
    <w:rPr>
      <w:rFonts w:ascii="Arial" w:eastAsiaTheme="majorEastAsia" w:hAnsi="Arial" w:cstheme="majorBidi"/>
      <w:b/>
      <w:bCs/>
      <w:noProof/>
      <w:sz w:val="24"/>
      <w:szCs w:val="28"/>
    </w:rPr>
  </w:style>
  <w:style w:type="character" w:customStyle="1" w:styleId="Heading2Char">
    <w:name w:val="Heading 2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98719B"/>
    <w:pPr>
      <w:outlineLvl w:val="9"/>
    </w:pPr>
  </w:style>
  <w:style w:type="paragraph" w:styleId="TOC1">
    <w:name w:val="toc 1"/>
    <w:basedOn w:val="Normal"/>
    <w:next w:val="Normal"/>
    <w:autoRedefine/>
    <w:uiPriority w:val="39"/>
    <w:unhideWhenUsed/>
    <w:rsid w:val="00BB169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76891"/>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27689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Instructions">
    <w:name w:val="Instructions"/>
    <w:basedOn w:val="Normal"/>
    <w:autoRedefine/>
    <w:rsid w:val="00BC5C8C"/>
    <w:pPr>
      <w:shd w:val="clear" w:color="auto" w:fill="FFFFFF"/>
      <w:spacing w:after="0" w:line="240" w:lineRule="auto"/>
    </w:pPr>
    <w:rPr>
      <w:rFonts w:ascii="Times New Roman" w:eastAsia="Times New Roman" w:hAnsi="Times New Roman" w:cs="Times New Roman"/>
      <w:i/>
      <w:color w:val="0000FF"/>
      <w:szCs w:val="20"/>
    </w:rPr>
  </w:style>
  <w:style w:type="paragraph" w:customStyle="1" w:styleId="InfoBlue">
    <w:name w:val="InfoBlue"/>
    <w:basedOn w:val="Normal"/>
    <w:next w:val="BodyText"/>
    <w:rsid w:val="00BC5C8C"/>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TOC4">
    <w:name w:val="toc 4"/>
    <w:basedOn w:val="Normal"/>
    <w:next w:val="Normal"/>
    <w:autoRedefine/>
    <w:uiPriority w:val="39"/>
    <w:unhideWhenUsed/>
    <w:rsid w:val="0010476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0476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0476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0476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0476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0476C"/>
    <w:pPr>
      <w:spacing w:after="0"/>
      <w:ind w:left="1920"/>
    </w:pPr>
    <w:rPr>
      <w:rFonts w:asciiTheme="minorHAnsi" w:hAnsiTheme="minorHAnsi" w:cstheme="minorHAnsi"/>
      <w:sz w:val="18"/>
      <w:szCs w:val="18"/>
    </w:rPr>
  </w:style>
  <w:style w:type="paragraph" w:customStyle="1" w:styleId="TableBody">
    <w:name w:val="Table Body"/>
    <w:basedOn w:val="Normal"/>
    <w:uiPriority w:val="99"/>
    <w:rsid w:val="004172F6"/>
    <w:pPr>
      <w:spacing w:before="60" w:after="60" w:line="240" w:lineRule="auto"/>
      <w:ind w:left="74" w:right="74"/>
    </w:pPr>
    <w:rPr>
      <w:rFonts w:ascii="Arial" w:eastAsia="Times New Roman" w:hAnsi="Arial" w:cs="Arial"/>
      <w:sz w:val="18"/>
      <w:szCs w:val="18"/>
      <w:lang w:eastAsia="en-GB"/>
    </w:rPr>
  </w:style>
  <w:style w:type="paragraph" w:styleId="z-TopofForm">
    <w:name w:val="HTML Top of Form"/>
    <w:basedOn w:val="Normal"/>
    <w:next w:val="Normal"/>
    <w:link w:val="z-TopofFormChar"/>
    <w:hidden/>
    <w:uiPriority w:val="99"/>
    <w:semiHidden/>
    <w:unhideWhenUsed/>
    <w:rsid w:val="004172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72F6"/>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544794">
      <w:bodyDiv w:val="1"/>
      <w:marLeft w:val="0"/>
      <w:marRight w:val="0"/>
      <w:marTop w:val="0"/>
      <w:marBottom w:val="0"/>
      <w:divBdr>
        <w:top w:val="none" w:sz="0" w:space="0" w:color="auto"/>
        <w:left w:val="none" w:sz="0" w:space="0" w:color="auto"/>
        <w:bottom w:val="none" w:sz="0" w:space="0" w:color="auto"/>
        <w:right w:val="none" w:sz="0" w:space="0" w:color="auto"/>
      </w:divBdr>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40DA6E3C-0C22-47E5-A0F5-35DED7105ECF}"/>
</file>

<file path=customXml/itemProps5.xml><?xml version="1.0" encoding="utf-8"?>
<ds:datastoreItem xmlns:ds="http://schemas.openxmlformats.org/officeDocument/2006/customXml" ds:itemID="{37F2084A-05FF-4029-9CEF-A950E6A26169}"/>
</file>

<file path=docProps/app.xml><?xml version="1.0" encoding="utf-8"?>
<Properties xmlns="http://schemas.openxmlformats.org/officeDocument/2006/extended-properties" xmlns:vt="http://schemas.openxmlformats.org/officeDocument/2006/docPropsVTypes">
  <Template>Normal.dotm</Template>
  <TotalTime>612</TotalTime>
  <Pages>18</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22711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13</cp:revision>
  <cp:lastPrinted>2012-08-23T14:38:00Z</cp:lastPrinted>
  <dcterms:created xsi:type="dcterms:W3CDTF">2013-08-30T18:56:00Z</dcterms:created>
  <dcterms:modified xsi:type="dcterms:W3CDTF">2013-09-09T17:50:00Z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