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CSE412_Sec2_Group1_ProjectProposal</w:t>
      </w:r>
    </w:p>
    <w:p w:rsidR="00000000" w:rsidDel="00000000" w:rsidP="00000000" w:rsidRDefault="00000000" w:rsidRPr="00000000" w14:paraId="00000002">
      <w:pPr>
        <w:rPr/>
      </w:pPr>
      <w:r w:rsidDel="00000000" w:rsidR="00000000" w:rsidRPr="00000000">
        <w:rPr>
          <w:rtl w:val="0"/>
        </w:rPr>
        <w:t xml:space="preserve">A Project Proposal on </w:t>
      </w:r>
      <w:r w:rsidDel="00000000" w:rsidR="00000000" w:rsidRPr="00000000">
        <w:rPr>
          <w:b w:val="1"/>
          <w:rtl w:val="0"/>
        </w:rPr>
        <w:t xml:space="preserve">BLOOD BOND</w:t>
      </w:r>
      <w:r w:rsidDel="00000000" w:rsidR="00000000" w:rsidRPr="00000000">
        <w:rPr>
          <w:rtl w:val="0"/>
        </w:rPr>
        <w:br w:type="textWrapping"/>
      </w:r>
    </w:p>
    <w:p w:rsidR="00000000" w:rsidDel="00000000" w:rsidP="00000000" w:rsidRDefault="00000000" w:rsidRPr="00000000" w14:paraId="00000003">
      <w:pPr>
        <w:pStyle w:val="Heading3"/>
        <w:rPr>
          <w:sz w:val="28"/>
          <w:szCs w:val="28"/>
        </w:rPr>
      </w:pPr>
      <w:r w:rsidDel="00000000" w:rsidR="00000000" w:rsidRPr="00000000">
        <w:rPr>
          <w:sz w:val="28"/>
          <w:szCs w:val="28"/>
          <w:rtl w:val="0"/>
        </w:rPr>
        <w:t xml:space="preserve">Blood Bond</w:t>
      </w:r>
    </w:p>
    <w:p w:rsidR="00000000" w:rsidDel="00000000" w:rsidP="00000000" w:rsidRDefault="00000000" w:rsidRPr="00000000" w14:paraId="00000004">
      <w:pPr>
        <w:pStyle w:val="Heading3"/>
        <w:rPr/>
      </w:pPr>
      <w:r w:rsidDel="00000000" w:rsidR="00000000" w:rsidRPr="00000000">
        <w:rPr>
          <w:rtl w:val="0"/>
        </w:rPr>
        <w:t xml:space="preserve">Group: 01</w:t>
      </w:r>
    </w:p>
    <w:tbl>
      <w:tblPr>
        <w:tblStyle w:val="Table1"/>
        <w:tblW w:w="863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Project Manager</w:t>
            </w:r>
          </w:p>
        </w:tc>
        <w:tc>
          <w:tcPr/>
          <w:p w:rsidR="00000000" w:rsidDel="00000000" w:rsidP="00000000" w:rsidRDefault="00000000" w:rsidRPr="00000000" w14:paraId="00000006">
            <w:pPr>
              <w:rPr/>
            </w:pPr>
            <w:r w:rsidDel="00000000" w:rsidR="00000000" w:rsidRPr="00000000">
              <w:rPr>
                <w:rtl w:val="0"/>
              </w:rPr>
              <w:t xml:space="preserve">Malek Hossain Jim(2023-1-60-117)</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Front-end Developer</w:t>
            </w:r>
          </w:p>
        </w:tc>
        <w:tc>
          <w:tcPr/>
          <w:p w:rsidR="00000000" w:rsidDel="00000000" w:rsidP="00000000" w:rsidRDefault="00000000" w:rsidRPr="00000000" w14:paraId="00000008">
            <w:pPr>
              <w:rPr/>
            </w:pPr>
            <w:r w:rsidDel="00000000" w:rsidR="00000000" w:rsidRPr="00000000">
              <w:rPr>
                <w:rtl w:val="0"/>
              </w:rPr>
              <w:t xml:space="preserve">Malek Hossain Jim(2023-1-60-117),</w:t>
            </w:r>
          </w:p>
          <w:p w:rsidR="00000000" w:rsidDel="00000000" w:rsidP="00000000" w:rsidRDefault="00000000" w:rsidRPr="00000000" w14:paraId="00000009">
            <w:pPr>
              <w:rPr/>
            </w:pPr>
            <w:r w:rsidDel="00000000" w:rsidR="00000000" w:rsidRPr="00000000">
              <w:rPr>
                <w:rFonts w:ascii="Quattrocento Sans" w:cs="Quattrocento Sans" w:eastAsia="Quattrocento Sans" w:hAnsi="Quattrocento Sans"/>
                <w:color w:val="000000"/>
                <w:sz w:val="23"/>
                <w:szCs w:val="23"/>
                <w:shd w:fill="f0f0f0" w:val="clear"/>
                <w:rtl w:val="0"/>
              </w:rPr>
              <w:t xml:space="preserve">Afsara Tanjim</w:t>
            </w:r>
            <w:r w:rsidDel="00000000" w:rsidR="00000000" w:rsidRPr="00000000">
              <w:rPr>
                <w:rtl w:val="0"/>
              </w:rPr>
              <w:t xml:space="preserve"> (2023-1-60-167),</w:t>
            </w:r>
          </w:p>
          <w:p w:rsidR="00000000" w:rsidDel="00000000" w:rsidP="00000000" w:rsidRDefault="00000000" w:rsidRPr="00000000" w14:paraId="0000000A">
            <w:pPr>
              <w:rPr/>
            </w:pPr>
            <w:r w:rsidDel="00000000" w:rsidR="00000000" w:rsidRPr="00000000">
              <w:rPr>
                <w:rtl w:val="0"/>
              </w:rPr>
              <w:t xml:space="preserve">Takia Labiba Razna(2023-1-60-170)</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Back-end Developer</w:t>
            </w:r>
          </w:p>
        </w:tc>
        <w:tc>
          <w:tcPr/>
          <w:p w:rsidR="00000000" w:rsidDel="00000000" w:rsidP="00000000" w:rsidRDefault="00000000" w:rsidRPr="00000000" w14:paraId="0000000C">
            <w:pPr>
              <w:rPr/>
            </w:pPr>
            <w:r w:rsidDel="00000000" w:rsidR="00000000" w:rsidRPr="00000000">
              <w:rPr>
                <w:rtl w:val="0"/>
              </w:rPr>
              <w:t xml:space="preserve">Malek Hossain Jim (2023-1-60-117), </w:t>
            </w:r>
          </w:p>
          <w:p w:rsidR="00000000" w:rsidDel="00000000" w:rsidP="00000000" w:rsidRDefault="00000000" w:rsidRPr="00000000" w14:paraId="0000000D">
            <w:pPr>
              <w:rPr/>
            </w:pPr>
            <w:r w:rsidDel="00000000" w:rsidR="00000000" w:rsidRPr="00000000">
              <w:rPr>
                <w:rFonts w:ascii="Quattrocento Sans" w:cs="Quattrocento Sans" w:eastAsia="Quattrocento Sans" w:hAnsi="Quattrocento Sans"/>
                <w:color w:val="000000"/>
                <w:sz w:val="23"/>
                <w:szCs w:val="23"/>
                <w:shd w:fill="f0f0f0" w:val="clear"/>
                <w:rtl w:val="0"/>
              </w:rPr>
              <w:t xml:space="preserve">Afsara Tanjim</w:t>
            </w:r>
            <w:r w:rsidDel="00000000" w:rsidR="00000000" w:rsidRPr="00000000">
              <w:rPr>
                <w:rtl w:val="0"/>
              </w:rPr>
              <w:t xml:space="preserve"> (2023-1-60-167) </w:t>
            </w:r>
          </w:p>
          <w:p w:rsidR="00000000" w:rsidDel="00000000" w:rsidP="00000000" w:rsidRDefault="00000000" w:rsidRPr="00000000" w14:paraId="0000000E">
            <w:pPr>
              <w:rPr/>
            </w:pPr>
            <w:r w:rsidDel="00000000" w:rsidR="00000000" w:rsidRPr="00000000">
              <w:rPr>
                <w:rtl w:val="0"/>
              </w:rPr>
              <w:t xml:space="preserve">Ummeh Habiba Moushi(2023-1-60-146)</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Documentation Lead</w:t>
            </w:r>
          </w:p>
        </w:tc>
        <w:tc>
          <w:tcPr/>
          <w:p w:rsidR="00000000" w:rsidDel="00000000" w:rsidP="00000000" w:rsidRDefault="00000000" w:rsidRPr="00000000" w14:paraId="00000010">
            <w:pPr>
              <w:rPr/>
            </w:pPr>
            <w:bookmarkStart w:colFirst="0" w:colLast="0" w:name="_77g29ergtti" w:id="0"/>
            <w:bookmarkEnd w:id="0"/>
            <w:r w:rsidDel="00000000" w:rsidR="00000000" w:rsidRPr="00000000">
              <w:rPr>
                <w:rtl w:val="0"/>
              </w:rPr>
              <w:t xml:space="preserve">Takia Labiba Razna(2023-1-60-170)</w:t>
            </w:r>
          </w:p>
          <w:p w:rsidR="00000000" w:rsidDel="00000000" w:rsidP="00000000" w:rsidRDefault="00000000" w:rsidRPr="00000000" w14:paraId="00000011">
            <w:pPr>
              <w:rPr/>
            </w:pPr>
            <w:bookmarkStart w:colFirst="0" w:colLast="0" w:name="_b5hd2pwd3vno" w:id="1"/>
            <w:bookmarkEnd w:id="1"/>
            <w:r w:rsidDel="00000000" w:rsidR="00000000" w:rsidRPr="00000000">
              <w:rPr>
                <w:rtl w:val="0"/>
              </w:rPr>
              <w:t xml:space="preserve">Ummeh Habiba Moushi(2023-1-60-146)</w:t>
            </w:r>
          </w:p>
        </w:tc>
      </w:tr>
    </w:tbl>
    <w:p w:rsidR="00000000" w:rsidDel="00000000" w:rsidP="00000000" w:rsidRDefault="00000000" w:rsidRPr="00000000" w14:paraId="00000012">
      <w:pPr>
        <w:pStyle w:val="Heading2"/>
        <w:rPr/>
      </w:pPr>
      <w:r w:rsidDel="00000000" w:rsidR="00000000" w:rsidRPr="00000000">
        <w:rPr>
          <w:rtl w:val="0"/>
        </w:rPr>
        <w:t xml:space="preserve">Overview</w:t>
      </w:r>
    </w:p>
    <w:p w:rsidR="00000000" w:rsidDel="00000000" w:rsidP="00000000" w:rsidRDefault="00000000" w:rsidRPr="00000000" w14:paraId="00000013">
      <w:pPr>
        <w:rPr/>
      </w:pPr>
      <w:r w:rsidDel="00000000" w:rsidR="00000000" w:rsidRPr="00000000">
        <w:rPr>
          <w:rtl w:val="0"/>
        </w:rPr>
        <w:t xml:space="preserve">The Blood Donation System (BDS) aims to create a smart, secure, and accessible digital platform that connects blood donors, recipients, and hospitals in real-time. The system addresses critical challenges such as locating suitable donors quickly, ensuring donor eligibility, preventing fraud, and improving emergency response times. By leveraging AI-based matching, location tracking, and blockchain-backed record management, this system enhances the transparency, reliability, and efficiency of the blood donation process. The primary goal is to ensure that every blood request is fulfilled on time while maintaining donor safety and data integrity.</w:t>
      </w:r>
    </w:p>
    <w:p w:rsidR="00000000" w:rsidDel="00000000" w:rsidP="00000000" w:rsidRDefault="00000000" w:rsidRPr="00000000" w14:paraId="00000014">
      <w:pPr>
        <w:pStyle w:val="Heading2"/>
        <w:rPr/>
      </w:pPr>
      <w:r w:rsidDel="00000000" w:rsidR="00000000" w:rsidRPr="00000000">
        <w:rPr>
          <w:rtl w:val="0"/>
        </w:rPr>
        <w:t xml:space="preserve">Tentative Features</w:t>
      </w:r>
    </w:p>
    <w:p w:rsidR="00000000" w:rsidDel="00000000" w:rsidP="00000000" w:rsidRDefault="00000000" w:rsidRPr="00000000" w14:paraId="00000015">
      <w:pPr>
        <w:pStyle w:val="Heading3"/>
        <w:rPr/>
      </w:pPr>
      <w:r w:rsidDel="00000000" w:rsidR="00000000" w:rsidRPr="00000000">
        <w:rPr>
          <w:rtl w:val="0"/>
        </w:rPr>
        <w:t xml:space="preserve">Functional Requirements</w:t>
      </w:r>
    </w:p>
    <w:p w:rsidR="00000000" w:rsidDel="00000000" w:rsidP="00000000" w:rsidRDefault="00000000" w:rsidRPr="00000000" w14:paraId="00000016">
      <w:pPr>
        <w:rPr/>
      </w:pPr>
      <w:r w:rsidDel="00000000" w:rsidR="00000000" w:rsidRPr="00000000">
        <w:rPr>
          <w:rtl w:val="0"/>
        </w:rPr>
        <w:t xml:space="preserve">• User Management &amp; Authentication with OTP and 2FA</w:t>
      </w:r>
    </w:p>
    <w:p w:rsidR="00000000" w:rsidDel="00000000" w:rsidP="00000000" w:rsidRDefault="00000000" w:rsidRPr="00000000" w14:paraId="00000017">
      <w:pPr>
        <w:rPr/>
      </w:pPr>
      <w:r w:rsidDel="00000000" w:rsidR="00000000" w:rsidRPr="00000000">
        <w:rPr>
          <w:rtl w:val="0"/>
        </w:rPr>
        <w:t xml:space="preserve">• Donor and Recipient registration with medical and contact details</w:t>
      </w:r>
    </w:p>
    <w:p w:rsidR="00000000" w:rsidDel="00000000" w:rsidP="00000000" w:rsidRDefault="00000000" w:rsidRPr="00000000" w14:paraId="00000018">
      <w:pPr>
        <w:rPr/>
      </w:pPr>
      <w:r w:rsidDel="00000000" w:rsidR="00000000" w:rsidRPr="00000000">
        <w:rPr>
          <w:rtl w:val="0"/>
        </w:rPr>
        <w:t xml:space="preserve">• Smart donor–recipient matching using AI-based algorithms</w:t>
      </w:r>
    </w:p>
    <w:p w:rsidR="00000000" w:rsidDel="00000000" w:rsidP="00000000" w:rsidRDefault="00000000" w:rsidRPr="00000000" w14:paraId="00000019">
      <w:pPr>
        <w:rPr/>
      </w:pPr>
      <w:r w:rsidDel="00000000" w:rsidR="00000000" w:rsidRPr="00000000">
        <w:rPr>
          <w:rtl w:val="0"/>
        </w:rPr>
        <w:t xml:space="preserve">• 90-day donation restriction with automatic reminders</w:t>
      </w:r>
    </w:p>
    <w:p w:rsidR="00000000" w:rsidDel="00000000" w:rsidP="00000000" w:rsidRDefault="00000000" w:rsidRPr="00000000" w14:paraId="0000001A">
      <w:pPr>
        <w:rPr/>
      </w:pPr>
      <w:r w:rsidDel="00000000" w:rsidR="00000000" w:rsidRPr="00000000">
        <w:rPr>
          <w:rtl w:val="0"/>
        </w:rPr>
        <w:t xml:space="preserve">• Fraud detection and identity verification via NID/photo</w:t>
      </w:r>
    </w:p>
    <w:p w:rsidR="00000000" w:rsidDel="00000000" w:rsidP="00000000" w:rsidRDefault="00000000" w:rsidRPr="00000000" w14:paraId="0000001B">
      <w:pPr>
        <w:rPr/>
      </w:pPr>
      <w:r w:rsidDel="00000000" w:rsidR="00000000" w:rsidRPr="00000000">
        <w:rPr>
          <w:rtl w:val="0"/>
        </w:rPr>
        <w:t xml:space="preserve">• Search and request blood by group and location</w:t>
      </w:r>
    </w:p>
    <w:p w:rsidR="00000000" w:rsidDel="00000000" w:rsidP="00000000" w:rsidRDefault="00000000" w:rsidRPr="00000000" w14:paraId="0000001C">
      <w:pPr>
        <w:rPr/>
      </w:pPr>
      <w:r w:rsidDel="00000000" w:rsidR="00000000" w:rsidRPr="00000000">
        <w:rPr>
          <w:rtl w:val="0"/>
        </w:rPr>
        <w:t xml:space="preserve">• Real-time notifications via SMS/Email/App</w:t>
      </w:r>
    </w:p>
    <w:p w:rsidR="00000000" w:rsidDel="00000000" w:rsidP="00000000" w:rsidRDefault="00000000" w:rsidRPr="00000000" w14:paraId="0000001D">
      <w:pPr>
        <w:rPr/>
      </w:pPr>
      <w:r w:rsidDel="00000000" w:rsidR="00000000" w:rsidRPr="00000000">
        <w:rPr>
          <w:rtl w:val="0"/>
        </w:rPr>
        <w:t xml:space="preserve">• Admin dashboard with analytics and system monitoring</w:t>
      </w:r>
    </w:p>
    <w:p w:rsidR="00000000" w:rsidDel="00000000" w:rsidP="00000000" w:rsidRDefault="00000000" w:rsidRPr="00000000" w14:paraId="0000001E">
      <w:pPr>
        <w:rPr/>
      </w:pPr>
      <w:r w:rsidDel="00000000" w:rsidR="00000000" w:rsidRPr="00000000">
        <w:rPr>
          <w:rtl w:val="0"/>
        </w:rPr>
        <w:t xml:space="preserve">• Hospital &amp; blood bank integration for stock updates</w:t>
      </w:r>
    </w:p>
    <w:p w:rsidR="00000000" w:rsidDel="00000000" w:rsidP="00000000" w:rsidRDefault="00000000" w:rsidRPr="00000000" w14:paraId="0000001F">
      <w:pPr>
        <w:pStyle w:val="Heading3"/>
        <w:rPr/>
      </w:pPr>
      <w:r w:rsidDel="00000000" w:rsidR="00000000" w:rsidRPr="00000000">
        <w:rPr>
          <w:rtl w:val="0"/>
        </w:rPr>
        <w:t xml:space="preserve">Non-Functional Requirements</w:t>
      </w:r>
    </w:p>
    <w:p w:rsidR="00000000" w:rsidDel="00000000" w:rsidP="00000000" w:rsidRDefault="00000000" w:rsidRPr="00000000" w14:paraId="00000020">
      <w:pPr>
        <w:rPr/>
      </w:pPr>
      <w:r w:rsidDel="00000000" w:rsidR="00000000" w:rsidRPr="00000000">
        <w:rPr>
          <w:rtl w:val="0"/>
        </w:rPr>
        <w:t xml:space="preserve">• High system availability and reliability</w:t>
      </w:r>
    </w:p>
    <w:p w:rsidR="00000000" w:rsidDel="00000000" w:rsidP="00000000" w:rsidRDefault="00000000" w:rsidRPr="00000000" w14:paraId="00000021">
      <w:pPr>
        <w:rPr/>
      </w:pPr>
      <w:r w:rsidDel="00000000" w:rsidR="00000000" w:rsidRPr="00000000">
        <w:rPr>
          <w:rtl w:val="0"/>
        </w:rPr>
        <w:t xml:space="preserve">• Secure data storage with encryption and blockchain traceability</w:t>
      </w:r>
    </w:p>
    <w:p w:rsidR="00000000" w:rsidDel="00000000" w:rsidP="00000000" w:rsidRDefault="00000000" w:rsidRPr="00000000" w14:paraId="00000022">
      <w:pPr>
        <w:rPr/>
      </w:pPr>
      <w:r w:rsidDel="00000000" w:rsidR="00000000" w:rsidRPr="00000000">
        <w:rPr>
          <w:rtl w:val="0"/>
        </w:rPr>
        <w:t xml:space="preserve">• Responsive design for web and mobile devices</w:t>
      </w:r>
    </w:p>
    <w:p w:rsidR="00000000" w:rsidDel="00000000" w:rsidP="00000000" w:rsidRDefault="00000000" w:rsidRPr="00000000" w14:paraId="00000023">
      <w:pPr>
        <w:rPr/>
      </w:pPr>
      <w:r w:rsidDel="00000000" w:rsidR="00000000" w:rsidRPr="00000000">
        <w:rPr>
          <w:rtl w:val="0"/>
        </w:rPr>
        <w:t xml:space="preserve">• Scalable backend for large user base</w:t>
      </w:r>
    </w:p>
    <w:p w:rsidR="00000000" w:rsidDel="00000000" w:rsidP="00000000" w:rsidRDefault="00000000" w:rsidRPr="00000000" w14:paraId="00000024">
      <w:pPr>
        <w:rPr/>
      </w:pPr>
      <w:r w:rsidDel="00000000" w:rsidR="00000000" w:rsidRPr="00000000">
        <w:rPr>
          <w:rtl w:val="0"/>
        </w:rPr>
        <w:t xml:space="preserve">• Multilingual interface support (English, Bengali)</w:t>
      </w:r>
    </w:p>
    <w:p w:rsidR="00000000" w:rsidDel="00000000" w:rsidP="00000000" w:rsidRDefault="00000000" w:rsidRPr="00000000" w14:paraId="00000025">
      <w:pPr>
        <w:rPr/>
      </w:pPr>
      <w:r w:rsidDel="00000000" w:rsidR="00000000" w:rsidRPr="00000000">
        <w:rPr>
          <w:rtl w:val="0"/>
        </w:rPr>
        <w:t xml:space="preserve">• Efficient performance under concurrent user requests</w:t>
      </w:r>
    </w:p>
    <w:p w:rsidR="00000000" w:rsidDel="00000000" w:rsidP="00000000" w:rsidRDefault="00000000" w:rsidRPr="00000000" w14:paraId="00000026">
      <w:pPr>
        <w:pStyle w:val="Heading2"/>
        <w:rPr/>
      </w:pPr>
      <w:r w:rsidDel="00000000" w:rsidR="00000000" w:rsidRPr="00000000">
        <w:rPr>
          <w:rtl w:val="0"/>
        </w:rPr>
        <w:t xml:space="preserve">Strategy</w:t>
      </w:r>
    </w:p>
    <w:p w:rsidR="00000000" w:rsidDel="00000000" w:rsidP="00000000" w:rsidRDefault="00000000" w:rsidRPr="00000000" w14:paraId="00000027">
      <w:pPr>
        <w:pStyle w:val="Heading3"/>
        <w:rPr/>
      </w:pPr>
      <w:r w:rsidDel="00000000" w:rsidR="00000000" w:rsidRPr="00000000">
        <w:rPr>
          <w:rtl w:val="0"/>
        </w:rPr>
        <w:t xml:space="preserve">Approach</w:t>
      </w:r>
    </w:p>
    <w:p w:rsidR="00000000" w:rsidDel="00000000" w:rsidP="00000000" w:rsidRDefault="00000000" w:rsidRPr="00000000" w14:paraId="00000028">
      <w:pPr>
        <w:rPr/>
      </w:pPr>
      <w:r w:rsidDel="00000000" w:rsidR="00000000" w:rsidRPr="00000000">
        <w:rPr>
          <w:rtl w:val="0"/>
        </w:rPr>
        <w:t xml:space="preserve">The development will follow an agile methodology divided into sprints. Each sprint will focus on core modules such as user management, donor–recipient matching, and admin analytics. The system will undergo continuous integration and testing to ensure reliability. APIs will be designed for scalability, and cloud deployment will be used for ease of access and performance optimization.</w:t>
      </w:r>
    </w:p>
    <w:p w:rsidR="00000000" w:rsidDel="00000000" w:rsidP="00000000" w:rsidRDefault="00000000" w:rsidRPr="00000000" w14:paraId="00000029">
      <w:pPr>
        <w:pStyle w:val="Heading3"/>
        <w:rPr/>
      </w:pPr>
      <w:r w:rsidDel="00000000" w:rsidR="00000000" w:rsidRPr="00000000">
        <w:rPr>
          <w:rtl w:val="0"/>
        </w:rPr>
        <w:t xml:space="preserve">Target Audience</w:t>
      </w:r>
    </w:p>
    <w:p w:rsidR="00000000" w:rsidDel="00000000" w:rsidP="00000000" w:rsidRDefault="00000000" w:rsidRPr="00000000" w14:paraId="0000002A">
      <w:pPr>
        <w:rPr/>
      </w:pPr>
      <w:r w:rsidDel="00000000" w:rsidR="00000000" w:rsidRPr="00000000">
        <w:rPr>
          <w:rtl w:val="0"/>
        </w:rPr>
        <w:t xml:space="preserve">The target users include blood donors, recipients, hospitals, and NGOs engaged in blood donation drives. It also supports government agencies and medical organizations for data-driven planning and reporting.</w:t>
      </w:r>
    </w:p>
    <w:p w:rsidR="00000000" w:rsidDel="00000000" w:rsidP="00000000" w:rsidRDefault="00000000" w:rsidRPr="00000000" w14:paraId="0000002B">
      <w:pPr>
        <w:pStyle w:val="Heading3"/>
        <w:rPr/>
      </w:pPr>
      <w:r w:rsidDel="00000000" w:rsidR="00000000" w:rsidRPr="00000000">
        <w:rPr>
          <w:rtl w:val="0"/>
        </w:rPr>
        <w:t xml:space="preserve">Technology</w:t>
      </w:r>
    </w:p>
    <w:p w:rsidR="00000000" w:rsidDel="00000000" w:rsidP="00000000" w:rsidRDefault="00000000" w:rsidRPr="00000000" w14:paraId="0000002C">
      <w:pPr>
        <w:rPr/>
      </w:pPr>
      <w:r w:rsidDel="00000000" w:rsidR="00000000" w:rsidRPr="00000000">
        <w:rPr>
          <w:rtl w:val="0"/>
        </w:rPr>
        <w:t xml:space="preserve">• Front-end: React.js / HTML / CSS / JavaScript</w:t>
      </w:r>
    </w:p>
    <w:p w:rsidR="00000000" w:rsidDel="00000000" w:rsidP="00000000" w:rsidRDefault="00000000" w:rsidRPr="00000000" w14:paraId="0000002D">
      <w:pPr>
        <w:rPr/>
      </w:pPr>
      <w:r w:rsidDel="00000000" w:rsidR="00000000" w:rsidRPr="00000000">
        <w:rPr>
          <w:rtl w:val="0"/>
        </w:rPr>
        <w:t xml:space="preserve">• Back-end: Node.js / Express.js or Python Flask</w:t>
      </w:r>
    </w:p>
    <w:p w:rsidR="00000000" w:rsidDel="00000000" w:rsidP="00000000" w:rsidRDefault="00000000" w:rsidRPr="00000000" w14:paraId="0000002E">
      <w:pPr>
        <w:rPr/>
      </w:pPr>
      <w:r w:rsidDel="00000000" w:rsidR="00000000" w:rsidRPr="00000000">
        <w:rPr>
          <w:rtl w:val="0"/>
        </w:rPr>
        <w:t xml:space="preserve">• Database: MySQL / MongoDB</w:t>
      </w:r>
    </w:p>
    <w:p w:rsidR="00000000" w:rsidDel="00000000" w:rsidP="00000000" w:rsidRDefault="00000000" w:rsidRPr="00000000" w14:paraId="0000002F">
      <w:pPr>
        <w:rPr/>
      </w:pPr>
      <w:r w:rsidDel="00000000" w:rsidR="00000000" w:rsidRPr="00000000">
        <w:rPr>
          <w:rtl w:val="0"/>
        </w:rPr>
        <w:t xml:space="preserve">• Additional: Google Maps API, Firebase Auth, Twilio for SMS alerts</w:t>
      </w:r>
    </w:p>
    <w:p w:rsidR="00000000" w:rsidDel="00000000" w:rsidP="00000000" w:rsidRDefault="00000000" w:rsidRPr="00000000" w14:paraId="00000030">
      <w:pPr>
        <w:pStyle w:val="Heading2"/>
        <w:rPr/>
      </w:pPr>
      <w:r w:rsidDel="00000000" w:rsidR="00000000" w:rsidRPr="00000000">
        <w:rPr>
          <w:rtl w:val="0"/>
        </w:rPr>
        <w:t xml:space="preserve">Milestones</w:t>
      </w:r>
    </w:p>
    <w:tbl>
      <w:tblPr>
        <w:tblStyle w:val="Table2"/>
        <w:tblW w:w="863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31">
            <w:pPr>
              <w:rPr/>
            </w:pPr>
            <w:r w:rsidDel="00000000" w:rsidR="00000000" w:rsidRPr="00000000">
              <w:rPr>
                <w:rtl w:val="0"/>
              </w:rPr>
              <w:t xml:space="preserve">Before Mid</w:t>
            </w:r>
          </w:p>
        </w:tc>
        <w:tc>
          <w:tcPr/>
          <w:p w:rsidR="00000000" w:rsidDel="00000000" w:rsidP="00000000" w:rsidRDefault="00000000" w:rsidRPr="00000000" w14:paraId="00000032">
            <w:pPr>
              <w:rPr/>
            </w:pPr>
            <w:r w:rsidDel="00000000" w:rsidR="00000000" w:rsidRPr="00000000">
              <w:rPr>
                <w:rtl w:val="0"/>
              </w:rPr>
              <w:t xml:space="preserve">Prototype with basic registration demo.</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Final Submission</w:t>
            </w:r>
          </w:p>
        </w:tc>
        <w:tc>
          <w:tcPr/>
          <w:p w:rsidR="00000000" w:rsidDel="00000000" w:rsidP="00000000" w:rsidRDefault="00000000" w:rsidRPr="00000000" w14:paraId="00000034">
            <w:pPr>
              <w:rPr/>
            </w:pPr>
            <w:r w:rsidDel="00000000" w:rsidR="00000000" w:rsidRPr="00000000">
              <w:rPr>
                <w:rtl w:val="0"/>
              </w:rPr>
              <w:t xml:space="preserve">Full system integration </w:t>
            </w:r>
          </w:p>
        </w:tc>
      </w:tr>
    </w:tbl>
    <w:p w:rsidR="00000000" w:rsidDel="00000000" w:rsidP="00000000" w:rsidRDefault="00000000" w:rsidRPr="00000000" w14:paraId="00000035">
      <w:pPr>
        <w:pStyle w:val="Heading2"/>
        <w:rPr/>
      </w:pPr>
      <w:r w:rsidDel="00000000" w:rsidR="00000000" w:rsidRPr="00000000">
        <w:rPr>
          <w:rtl w:val="0"/>
        </w:rPr>
        <w:t xml:space="preserve">Resources</w:t>
      </w:r>
    </w:p>
    <w:p w:rsidR="00000000" w:rsidDel="00000000" w:rsidP="00000000" w:rsidRDefault="00000000" w:rsidRPr="00000000" w14:paraId="00000036">
      <w:pPr>
        <w:rPr/>
      </w:pPr>
      <w:r w:rsidDel="00000000" w:rsidR="00000000" w:rsidRPr="00000000">
        <w:rPr>
          <w:rtl w:val="0"/>
        </w:rPr>
        <w:t xml:space="preserve">1. Feasibility Testing</w:t>
      </w:r>
    </w:p>
    <w:p w:rsidR="00000000" w:rsidDel="00000000" w:rsidP="00000000" w:rsidRDefault="00000000" w:rsidRPr="00000000" w14:paraId="00000037">
      <w:pPr>
        <w:rPr/>
      </w:pPr>
      <w:r w:rsidDel="00000000" w:rsidR="00000000" w:rsidRPr="00000000">
        <w:rPr>
          <w:rtl w:val="0"/>
        </w:rPr>
        <w:t xml:space="preserve">a. Operational feasibility – Easily deployable, user-friendly, and accessible.</w:t>
      </w:r>
    </w:p>
    <w:p w:rsidR="00000000" w:rsidDel="00000000" w:rsidP="00000000" w:rsidRDefault="00000000" w:rsidRPr="00000000" w14:paraId="00000038">
      <w:pPr>
        <w:rPr/>
      </w:pPr>
      <w:r w:rsidDel="00000000" w:rsidR="00000000" w:rsidRPr="00000000">
        <w:rPr>
          <w:rtl w:val="0"/>
        </w:rPr>
        <w:t xml:space="preserve">b. Technical feasibility – Built with reliable and proven open-source technologies.</w:t>
      </w:r>
    </w:p>
    <w:p w:rsidR="00000000" w:rsidDel="00000000" w:rsidP="00000000" w:rsidRDefault="00000000" w:rsidRPr="00000000" w14:paraId="00000039">
      <w:pPr>
        <w:rPr/>
      </w:pPr>
      <w:r w:rsidDel="00000000" w:rsidR="00000000" w:rsidRPr="00000000">
        <w:rPr>
          <w:rtl w:val="0"/>
        </w:rPr>
        <w:t xml:space="preserve">c. Economic feasibility – Low-cost cloud hosting and free-tier APIs reduce expenses.</w:t>
      </w:r>
    </w:p>
    <w:p w:rsidR="00000000" w:rsidDel="00000000" w:rsidP="00000000" w:rsidRDefault="00000000" w:rsidRPr="00000000" w14:paraId="0000003A">
      <w:pPr>
        <w:rPr/>
      </w:pPr>
      <w:r w:rsidDel="00000000" w:rsidR="00000000" w:rsidRPr="00000000">
        <w:rPr>
          <w:rtl w:val="0"/>
        </w:rPr>
        <w:t xml:space="preserve">d. Schedule feasibility – Can be completed within 15–20 days using agile sprint planning.</w:t>
      </w:r>
    </w:p>
    <w:p w:rsidR="00000000" w:rsidDel="00000000" w:rsidP="00000000" w:rsidRDefault="00000000" w:rsidRPr="00000000" w14:paraId="0000003B">
      <w:pPr>
        <w:rPr/>
      </w:pPr>
      <w:bookmarkStart w:colFirst="0" w:colLast="0" w:name="_4gxycsq80u2b" w:id="2"/>
      <w:bookmarkEnd w:id="2"/>
      <w:r w:rsidDel="00000000" w:rsidR="00000000" w:rsidRPr="00000000">
        <w:rPr>
          <w:rtl w:val="0"/>
        </w:rPr>
        <w:br w:type="textWrapping"/>
        <w:t xml:space="preserve">2. Use-case Diagram</w:t>
        <w:br w:type="textWrapping"/>
      </w:r>
      <w:r w:rsidDel="00000000" w:rsidR="00000000" w:rsidRPr="00000000">
        <w:rPr/>
        <w:drawing>
          <wp:inline distB="0" distT="0" distL="0" distR="0">
            <wp:extent cx="5485969" cy="38785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5969" cy="387858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