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57枚に対応した、日本語の発表原稿です。欠測した人も含む分布をまず回復し、その後で潜在クラスの比率と測定核を分ける、という流れで説明します。本編24枚では二段階の要約、推定理論と数値結果を説明します。25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8–11</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12–24</w:t>
            </w:r>
          </w:p>
        </w:tc>
        <w:tc>
          <w:tcPr>
            <w:tcW w:type="dxa" w:w="7344"/>
          </w:tcPr>
          <w:p>
            <w:r>
              <w:rPr>
                <w:rFonts w:ascii="Arial" w:hAnsi="Arial" w:eastAsia="BIZ UDPGothic"/>
                <w:color w:val="000000"/>
                <w:sz w:val="21"/>
              </w:rPr>
              <w:t>漸近理論、計算、simulation、結論、参考文献</w:t>
            </w:r>
          </w:p>
        </w:tc>
      </w:tr>
      <w:tr>
        <w:tc>
          <w:tcPr>
            <w:tcW w:type="dxa" w:w="2232"/>
          </w:tcPr>
          <w:p>
            <w:r>
              <w:rPr>
                <w:rFonts w:ascii="Arial" w:hAnsi="Arial" w:eastAsia="BIZ UDPGothic"/>
                <w:color w:val="000000"/>
                <w:sz w:val="21"/>
              </w:rPr>
              <w:t>Appendix 25–48</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49–57</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5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6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7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8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9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10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11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12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13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14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15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16  Simulation design: five estimators</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17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18  Population outcome recovery: bias and SD</w:t>
      </w:r>
    </w:p>
    <w:p>
      <w:pPr>
        <w:keepLines/>
      </w:pPr>
      <w:r>
        <w:t>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19  Population outcome recovery: SE and coverage</w:t>
      </w:r>
    </w:p>
    <w:p>
      <w:pPr>
        <w:keepLines/>
      </w:pPr>
      <w:r>
        <w:t>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20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21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22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23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24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25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26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27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28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29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30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31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32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33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34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35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36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37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38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39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40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41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42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43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44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45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46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47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48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49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50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57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