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47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8–19</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20–27</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28–41</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42–47</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5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6  Motivation and objective</w:t>
      </w:r>
    </w:p>
    <w:p>
      <w:pPr>
        <w:keepLines/>
      </w:pPr>
      <w:r>
        <w:t>ここで、なぜ二つの識別をつなぐ必要があるのかを、本文の式5と6で見ます。Dはどの項目が見えたか、Wは潜在分布を動かす変数です。仮に、Y、F、Xを条件づけると、DとWは独立だとします。これが式5です。</w:t>
      </w:r>
    </w:p>
    <w:p>
      <w:pPr>
        <w:keepLines/>
      </w:pPr>
      <w:r>
        <w:t>でもFは見えないので、平均して消す必要があります。すると式6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Slide 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9  A latent shifter is not a Missing IV</w:t>
      </w:r>
    </w:p>
    <w:p>
      <w:pPr>
        <w:keepLines/>
      </w:pPr>
      <w:r>
        <w:t>ここは少し注意が必要です。潜在分布を動かすWと、欠測を補正するZ Sは、同じ役割ではありません。Fまで条件づけるとDとWが独立でも、Fを平均して消すと、Y、W、Xの下でのFの分布が式に残ります。この分布は、一般にはWによって変わります。</w:t>
      </w:r>
    </w:p>
    <w:p>
      <w:pPr>
        <w:keepLines/>
      </w:pPr>
      <w:r>
        <w:t>つまり、Wがlatent shifterだからといって、そのままMissing IVに使えるわけではありません。Z Sは欠測による偏りを取り除くために使います。Wは、その後の分布を潜在構造に分けるとき、三つ目のviewとして使います。まず回復して、その後で分解する、という順番になります。</w:t>
      </w:r>
    </w:p>
    <w:p>
      <w:pPr>
        <w:spacing w:after="20"/>
      </w:pPr>
    </w:p>
    <w:p>
      <w:pPr>
        <w:pStyle w:val="Heading1"/>
      </w:pPr>
      <w:r>
        <w:t>Slide 10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11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12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13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証明は、二つの解があるとして逆数の差を取ります。completenessでその差がゼロと分かり、positivityでその一致を母集団全体へ広げます。あとは逆確率で重み付けすれば、Y、Z、Uの分布を回復できます。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Slide 14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15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16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17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18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19  Proof sketch the observable bridge is unique</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spacing w:after="20"/>
      </w:pPr>
    </w:p>
    <w:p>
      <w:pPr>
        <w:pStyle w:val="Heading1"/>
      </w:pPr>
      <w:r>
        <w:t>Slide 20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21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22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23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24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25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26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27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Slide 28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29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30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31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32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33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34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35  Simulation targets in the model</w:t>
      </w:r>
    </w:p>
    <w:p>
      <w:pPr>
        <w:keepLines/>
      </w:pPr>
      <w:r>
        <w:t>ここからシミュレーションです。Xは固定し、Fは二つのクラスとします。図の下は、Z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36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37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38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39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40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41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42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