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58枚に対応した、日本語の発表原稿です。欠測した人も含む分布をまず回復し、その後で潜在クラスの比率と測定核を分ける、という流れで説明します。本編25枚では二段階の要約、推定理論、従来の計算手順とシミュレーション設定、MNARの数値結果を説明します。掲載数値は既存のMNAR実験の五手法比較に限り、新しいTカテゴリ候補の結果ではありません。26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1–8</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9–12</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13–16</w:t>
            </w:r>
          </w:p>
        </w:tc>
        <w:tc>
          <w:tcPr>
            <w:tcW w:type="dxa" w:w="7344"/>
          </w:tcPr>
          <w:p>
            <w:r>
              <w:rPr>
                <w:rFonts w:ascii="Arial" w:hAnsi="Arial" w:eastAsia="BIZ UDPGothic"/>
                <w:color w:val="000000"/>
                <w:sz w:val="21"/>
              </w:rPr>
              <w:t>漸近理論、従来の計算手順とsimulation設定、評価対象</w:t>
            </w:r>
          </w:p>
        </w:tc>
      </w:tr>
      <w:tr>
        <w:tc>
          <w:tcPr>
            <w:tcW w:type="dxa" w:w="2232"/>
          </w:tcPr>
          <w:p>
            <w:r>
              <w:rPr>
                <w:rFonts w:ascii="Arial" w:hAnsi="Arial" w:eastAsia="BIZ UDPGothic"/>
                <w:color w:val="000000"/>
                <w:sz w:val="21"/>
              </w:rPr>
              <w:t>Slides 17–25</w:t>
            </w:r>
          </w:p>
        </w:tc>
        <w:tc>
          <w:tcPr>
            <w:tcW w:type="dxa" w:w="7344"/>
          </w:tcPr>
          <w:p>
            <w:r>
              <w:rPr>
                <w:rFonts w:ascii="Arial" w:hAnsi="Arial" w:eastAsia="BIZ UDPGothic"/>
                <w:color w:val="000000"/>
                <w:sz w:val="21"/>
              </w:rPr>
              <w:t>既存MNAR実験の五手法比較、数値結果、結論、参考文献</w:t>
            </w:r>
          </w:p>
        </w:tc>
      </w:tr>
      <w:tr>
        <w:tc>
          <w:tcPr>
            <w:tcW w:type="dxa" w:w="2232"/>
          </w:tcPr>
          <w:p>
            <w:r>
              <w:rPr>
                <w:rFonts w:ascii="Arial" w:hAnsi="Arial" w:eastAsia="BIZ UDPGothic"/>
                <w:color w:val="000000"/>
                <w:sz w:val="21"/>
              </w:rPr>
              <w:t>Appendix 26–49</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50–58</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From outcome-law recovery to latent identification</w:t>
      </w:r>
    </w:p>
    <w:p>
      <w:pPr>
        <w:keepLines/>
      </w:pPr>
      <w:r>
        <w:t>ここで、観測される項目の分布を戻すことと、その背後にある潜在構造を知ることを分けます。この図では、ZとYの関係を潜在変数Fが媒介し、Yから観測指標Rへつながる、という簡単な場合を描いています。共変量Uは条件づけて省略しています。これは私たちの問題を説明するための図で、ZhaoとShaoがこの潜在変数モデルを仮定しているという意味ではありません。</w:t>
      </w:r>
    </w:p>
    <w:p>
      <w:pPr>
        <w:keepLines/>
      </w:pPr>
      <w:r>
        <w:t>潜在分布と測定核が与えられれば、Fを積分することで、ZとUごとのYの分布が得られます。既存のMissing IVの理論が扱うのは、この積分後のoutcome law、あるいはZhaoとShaoの場合にはGLMのパラメータです。潜在変数を明示的に置くことや、実際に積分計算することが、既存法の必須条件というわけではありません。</w:t>
      </w:r>
    </w:p>
    <w:p>
      <w:pPr>
        <w:keepLines/>
      </w:pPr>
      <w:r>
        <w:t>私たちが知りたいのは、その先です。戻したoutcomeの分布から、潜在分布と測定核をそれぞれ取り出せるか。積分する向きは書けても、逆向きの分解が一つに決まるとは限りません。そこで、その追加の識別に必要な条件を考えます。</w:t>
      </w:r>
    </w:p>
    <w:p>
      <w:pPr>
        <w:spacing w:after="20"/>
      </w:pPr>
    </w:p>
    <w:p>
      <w:pPr>
        <w:pStyle w:val="Heading1"/>
      </w:pPr>
      <w:r>
        <w:t>Slide 5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6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7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8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9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10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11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12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13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14  Previous block-bridge computation</w:t>
      </w:r>
    </w:p>
    <w:p>
      <w:pPr>
        <w:keepLines/>
      </w:pPr>
      <w:r>
        <w:t>従来のblock-bridge法について整理した計算手順を振り返ります。新しく検討しているTをカテゴリ変数とする候補モデルの計算手順ではありません。</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15  Previous simulation model</w:t>
      </w:r>
    </w:p>
    <w:p>
      <w:pPr>
        <w:keepLines/>
      </w:pPr>
      <w:r>
        <w:t>このページは、後で示す数値を得た従来のDGP、つまりデータの生成設定です。新しいTカテゴリ候補を検証したものではありません。図に残しているZを平均して消す関係も、この従来の設定についての説明です。</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16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17  MNAR benchmark: five estimators</w:t>
      </w:r>
    </w:p>
    <w:p>
      <w:pPr>
        <w:keepLines/>
      </w:pPr>
      <w:r>
        <w:t>ここからは、先ほどの従来モデルで既に実行したMNAR実験の、五つの推定法を比べます。図や表に残っているMARというラベルは、真の欠測機構の名前ではなく、欠測を無視できると仮定した通常の潜在クラスFIMLを指します。掲載数値は、このMNAR実験の結果です。通常のFIMLはZを使わず、提案法はZを使うので、同じ情報を使った効率比較ではない点にも注意します。</w:t>
      </w:r>
    </w:p>
    <w:p>
      <w:pPr>
        <w:keepLines/>
      </w:pPr>
      <w:r>
        <w:t>比較するのは五つです。一つ目は、欠測前の全データを使うoracleです。二つ目は、欠測を無視できると考えて観測尤度を使う、通常の潜在クラスFIMLです。図ではMARと表記していま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18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19  Population outcome recovery: bias and SD</w:t>
      </w:r>
    </w:p>
    <w:p>
      <w:pPr>
        <w:keepLines/>
      </w:pPr>
      <w:r>
        <w:t>ここで示すのは、MNAR実験の結果です。まず、潜在構造に分ける前に、Yの分布が戻っているかを見ます。このページでは、ミュー2とミュー3について、五つの手法のbiasとSDを比べます。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20  Population outcome recovery: SE and coverage</w:t>
      </w:r>
    </w:p>
    <w:p>
      <w:pPr>
        <w:keepLines/>
      </w:pPr>
      <w:r>
        <w:t>ここで示すのは、MNAR実験の結果です。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21  Stage-2 full joint law</w:t>
      </w:r>
    </w:p>
    <w:p>
      <w:pPr>
        <w:keepLines/>
      </w:pPr>
      <w:r>
        <w:t>ここで示すのは、MNAR実験の結果です。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22  Latent-parameter recovery</w:t>
      </w:r>
    </w:p>
    <w:p>
      <w:pPr>
        <w:keepLines/>
      </w:pPr>
      <w:r>
        <w:t>ここで示すのは、MNAR実験の結果です。こちらは、潜在構造まで分けた後の結果です。測定核では、提案法のbiasの絶対値とRMSEが、MARと誤指定したselection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23  Contribution &amp; Limitation &amp; Future Work</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効率の面でも、クラス比率のRMSEは、正しく指定したselection likelihoodより大きくなることがあります。常に一番精度が高い、と言っているわけではありません。</w:t>
      </w:r>
    </w:p>
    <w:p>
      <w:pPr>
        <w:keepLines/>
      </w:pPr>
      <w:r>
        <w:t>今後の課題は、有限次元のbridgeについて示した推測理論を、標本数とともに次元を増やすsieveへ広げることです。そのためには、収束速度や逆問題について追加の理論が必要です。</w:t>
      </w:r>
    </w:p>
    <w:p>
      <w:pPr>
        <w:spacing w:after="20"/>
      </w:pPr>
    </w:p>
    <w:p>
      <w:pPr>
        <w:pStyle w:val="Heading1"/>
      </w:pPr>
      <w:r>
        <w:t>Slide 24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25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26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30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34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35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40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50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51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58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