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58枚に対応した、日本語の発表原稿です。欠測した人も含む分布をまず回復し、その後で潜在クラスの比率と測定核を分ける、という流れで説明します。本編25枚では二段階の要約、推定理論と数値結果を説明します。26枚目からのAppendixには、元の詳細な動機、仮定、識別と推定の議論を残し、その後に証明と数値設定を収めてい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1–8</w:t>
            </w:r>
          </w:p>
        </w:tc>
        <w:tc>
          <w:tcPr>
            <w:tcW w:type="dxa" w:w="7344"/>
          </w:tcPr>
          <w:p>
            <w:r>
              <w:rPr>
                <w:rFonts w:ascii="Arial" w:hAnsi="Arial" w:eastAsia="BIZ UDPGothic"/>
                <w:color w:val="000000"/>
                <w:sz w:val="21"/>
              </w:rPr>
              <w:t>基礎概念、既存研究、問題設定</w:t>
            </w:r>
          </w:p>
        </w:tc>
      </w:tr>
      <w:tr>
        <w:tc>
          <w:tcPr>
            <w:tcW w:type="dxa" w:w="2232"/>
          </w:tcPr>
          <w:p>
            <w:r>
              <w:rPr>
                <w:rFonts w:ascii="Arial" w:hAnsi="Arial" w:eastAsia="BIZ UDPGothic"/>
                <w:color w:val="000000"/>
                <w:sz w:val="21"/>
              </w:rPr>
              <w:t>Slides 9–12</w:t>
            </w:r>
          </w:p>
        </w:tc>
        <w:tc>
          <w:tcPr>
            <w:tcW w:type="dxa" w:w="7344"/>
          </w:tcPr>
          <w:p>
            <w:r>
              <w:rPr>
                <w:rFonts w:ascii="Arial" w:hAnsi="Arial" w:eastAsia="BIZ UDPGothic"/>
                <w:color w:val="000000"/>
                <w:sz w:val="21"/>
              </w:rPr>
              <w:t>二段階の要約 分布の回復、重なるペア、潜在構造の識別、推定への接続</w:t>
            </w:r>
          </w:p>
        </w:tc>
      </w:tr>
      <w:tr>
        <w:tc>
          <w:tcPr>
            <w:tcW w:type="dxa" w:w="2232"/>
          </w:tcPr>
          <w:p>
            <w:r>
              <w:rPr>
                <w:rFonts w:ascii="Arial" w:hAnsi="Arial" w:eastAsia="BIZ UDPGothic"/>
                <w:color w:val="000000"/>
                <w:sz w:val="21"/>
              </w:rPr>
              <w:t>Slides 13–25</w:t>
            </w:r>
          </w:p>
        </w:tc>
        <w:tc>
          <w:tcPr>
            <w:tcW w:type="dxa" w:w="7344"/>
          </w:tcPr>
          <w:p>
            <w:r>
              <w:rPr>
                <w:rFonts w:ascii="Arial" w:hAnsi="Arial" w:eastAsia="BIZ UDPGothic"/>
                <w:color w:val="000000"/>
                <w:sz w:val="21"/>
              </w:rPr>
              <w:t>漸近理論、計算、simulation、結論、参考文献</w:t>
            </w:r>
          </w:p>
        </w:tc>
      </w:tr>
      <w:tr>
        <w:tc>
          <w:tcPr>
            <w:tcW w:type="dxa" w:w="2232"/>
          </w:tcPr>
          <w:p>
            <w:r>
              <w:rPr>
                <w:rFonts w:ascii="Arial" w:hAnsi="Arial" w:eastAsia="BIZ UDPGothic"/>
                <w:color w:val="000000"/>
                <w:sz w:val="21"/>
              </w:rPr>
              <w:t>Appendix 26–49</w:t>
            </w:r>
          </w:p>
        </w:tc>
        <w:tc>
          <w:tcPr>
            <w:tcW w:type="dxa" w:w="7344"/>
          </w:tcPr>
          <w:p>
            <w:r>
              <w:rPr>
                <w:rFonts w:ascii="Arial" w:hAnsi="Arial" w:eastAsia="BIZ UDPGothic"/>
                <w:color w:val="000000"/>
                <w:sz w:val="21"/>
              </w:rPr>
              <w:t>詳細な動機、モデルと仮定、block lawの回復、潜在識別、推定条件</w:t>
            </w:r>
          </w:p>
        </w:tc>
      </w:tr>
      <w:tr>
        <w:tc>
          <w:tcPr>
            <w:tcW w:type="dxa" w:w="2232"/>
          </w:tcPr>
          <w:p>
            <w:r>
              <w:rPr>
                <w:rFonts w:ascii="Arial" w:hAnsi="Arial" w:eastAsia="BIZ UDPGothic"/>
                <w:color w:val="000000"/>
                <w:sz w:val="21"/>
              </w:rPr>
              <w:t>Appendix 50–58</w:t>
            </w:r>
          </w:p>
        </w:tc>
        <w:tc>
          <w:tcPr>
            <w:tcW w:type="dxa" w:w="7344"/>
          </w:tcPr>
          <w:p>
            <w:r>
              <w:rPr>
                <w:rFonts w:ascii="Arial" w:hAnsi="Arial" w:eastAsia="BIZ UDPGothic"/>
                <w:color w:val="000000"/>
                <w:sz w:val="21"/>
              </w:rPr>
              <w:t>証明スケッチ、定理1の8ステップ、empirical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From outcome-law recovery to latent identification</w:t>
      </w:r>
    </w:p>
    <w:p>
      <w:pPr>
        <w:keepLines/>
      </w:pPr>
      <w:r>
        <w:t>ここで、観測される項目の分布を戻すことと、その背後にある潜在構造を知ることを分けます。この図では、ZとYの関係を潜在変数Fが媒介し、Yから観測指標Rへつながる、という簡単な場合を描いています。共変量Uは条件づけて省略しています。これは私たちの問題を説明するための図で、ZhaoとShaoがこの潜在変数モデルを仮定しているという意味ではありません。</w:t>
      </w:r>
    </w:p>
    <w:p>
      <w:pPr>
        <w:keepLines/>
      </w:pPr>
      <w:r>
        <w:t>潜在分布と測定核が与えられれば、Fを積分することで、ZとUごとのYの分布が得られます。既存のMissing IVの理論が扱うのは、この積分後のoutcome law、あるいはZhaoとShaoの場合にはGLMのパラメータです。潜在変数を明示的に置くことや、実際に積分計算することが、既存法の必須条件というわけではありません。</w:t>
      </w:r>
    </w:p>
    <w:p>
      <w:pPr>
        <w:keepLines/>
      </w:pPr>
      <w:r>
        <w:t>私たちが知りたいのは、その先です。戻したoutcomeの分布から、潜在分布と測定核をそれぞれ取り出せるか。積分する向きは書けても、逆向きの分解が一つに決まるとは限りません。そこで、その追加の識別に必要な条件を考えます。</w:t>
      </w:r>
    </w:p>
    <w:p>
      <w:pPr>
        <w:spacing w:after="20"/>
      </w:pPr>
    </w:p>
    <w:p>
      <w:pPr>
        <w:pStyle w:val="Heading1"/>
      </w:pPr>
      <w:r>
        <w:t>Slide 5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spacing w:after="20"/>
      </w:pPr>
    </w:p>
    <w:p>
      <w:pPr>
        <w:pStyle w:val="Heading1"/>
      </w:pPr>
      <w:r>
        <w:t>Slide 6  Latent models with nonignorable missingness</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7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spacing w:after="20"/>
      </w:pPr>
    </w:p>
    <w:p>
      <w:pPr>
        <w:pStyle w:val="Heading1"/>
      </w:pPr>
      <w:r>
        <w:t>Slide 8  Why leave the selection model unspecified?</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9  Stage 1 (1): Recover the block law</w:t>
      </w:r>
    </w:p>
    <w:p>
      <w:pPr>
        <w:keepLines/>
      </w:pPr>
      <w:r>
        <w:t>まず第一段階です。知りたいのは、回答した人だけでなく、欠測した人も含めたblockの分布です。Sは一緒に扱う項目の組、R Sはその組が全部見えているかを表します。U SにはXとWをまとめています。</w:t>
      </w:r>
    </w:p>
    <w:p>
      <w:pPr>
        <w:keepLines/>
      </w:pPr>
      <w:r>
        <w:t>ここで使うZ SがMissing IVです。項目の値とは関連しますが、その値とU Sを押さえると、blockが見えるかどうかとは独立になります。この条件から、逆観測確率を重みにした条件付きモーメントの式が出てきます。complete-caseでのcompletenessとpositivityを置くと、bridgeが一つに決まります。</w:t>
      </w:r>
    </w:p>
    <w:p>
      <w:pPr>
        <w:keepLines/>
      </w:pPr>
      <w:r>
        <w:t>あとは、blockが全部見えた人をその重みで重み付けします。すると、Y S、Z S、U Sの母集団の同時分布が戻ります。一意性は、逆観測確率がcomplete caseで二乗可積分になる、ここで定めたbridgeの範囲での結果です。欠測確率をlogisticなどの形に決めなくてよい、というのが、この段階のポイントです。</w:t>
      </w:r>
    </w:p>
    <w:p>
      <w:pPr>
        <w:spacing w:after="20"/>
      </w:pPr>
    </w:p>
    <w:p>
      <w:pPr>
        <w:pStyle w:val="Heading1"/>
      </w:pPr>
      <w:r>
        <w:t>Slide 10  Stage 1 (2): Use overlapping pairs</w:t>
      </w:r>
    </w:p>
    <w:p>
      <w:pPr>
        <w:keepLines/>
      </w:pPr>
      <w:r>
        <w:t>次に、どのblockを回復するかです。全項目が同時に見える人を集める必要はありません。基準になる二つの項目aとbのペアと、aと残りの項目jを組にしたペアを使います。項目aが共通しているので、ペアどうしが重なっています。</w:t>
      </w:r>
    </w:p>
    <w:p>
      <w:pPr>
        <w:keepLines/>
      </w:pPr>
      <w:r>
        <w:t>必要なペアごとに、先ほどのMissing IV、completeness、positivityの条件を置いて分布を回復します。得られるのは、各ペアとWの母集団の分布です。まだ潜在クラスや測定核まで分かったわけではないので、それを次の段階で分けます。</w:t>
      </w:r>
    </w:p>
    <w:p>
      <w:pPr>
        <w:keepLines/>
      </w:pPr>
      <w:r>
        <w:t>ここではZ SとWの役割も分けておきます。Z Sは欠測の偏りを補正するための変数です。Wは潜在構造を分けるための三つ目のviewになります。潜在分布を動かすWを、そのままMissing IVとして使えるとは限りません。</w:t>
      </w:r>
    </w:p>
    <w:p>
      <w:pPr>
        <w:spacing w:after="20"/>
      </w:pPr>
    </w:p>
    <w:p>
      <w:pPr>
        <w:pStyle w:val="Heading1"/>
      </w:pPr>
      <w:r>
        <w:t>Slide 11  Stage 2 (1): Identify the latent structure</w:t>
      </w:r>
    </w:p>
    <w:p>
      <w:pPr>
        <w:keepLines/>
      </w:pPr>
      <w:r>
        <w:t>第二段階では、戻したペアの分布から、その背後の潜在構造を取り出します。クラス数rは既知で有限、項目とWが取り得る値も有限とします。さらに、FとXの下での局所独立性と、Wが測定核に直接入らないことを仮定します。ランク条件は、三つのviewのKruskal rank、k a、k b、k Gの和が2rプラス2以上、というものです。</w:t>
      </w:r>
    </w:p>
    <w:p>
      <w:pPr>
        <w:keepLines/>
      </w:pPr>
      <w:r>
        <w:t>まずanchorの二項目とWの確率を、三つの方向を持つ表、テンソルに並べます。Kruskalのランク条件があると、この分解はクラスの入れ替えと大きさの調整を除いて一つに決まります。確率の和を1にし、anchorのスコアで順序をそろえると、クラス比率p、Wのクラス別分布G、二つの測定核が分かります。</w:t>
      </w:r>
    </w:p>
    <w:p>
      <w:pPr>
        <w:keepLines/>
      </w:pPr>
      <w:r>
        <w:t>残りの項目は、共通のanchorを含むペアから線形の式を解いて求めます。これで全ての測定核が同じクラス名でそろい、ベイズ則からWごとのクラス比率も分かります。この測定モデルの下では、全項目の同時分布も組み立てられます。</w:t>
      </w:r>
    </w:p>
    <w:p>
      <w:pPr>
        <w:spacing w:after="20"/>
      </w:pPr>
    </w:p>
    <w:p>
      <w:pPr>
        <w:pStyle w:val="Heading1"/>
      </w:pPr>
      <w:r>
        <w:t>Slide 12  Stage 2 (2): Connect identification to estimation</w:t>
      </w:r>
    </w:p>
    <w:p>
      <w:pPr>
        <w:keepLines/>
      </w:pPr>
      <w:r>
        <w:t>ここまでで分かったWごとのクラス比率と各測定核を使うと、任意の項目集合Aの同時分布を作れます。クラスごとに各項目の確率を掛け、ラムダfで重み付けして足す、という式です。一度も一緒に観測されていない項目にも使えますが、局所独立性など、いまの測定モデルの下での結果です。</w:t>
      </w:r>
    </w:p>
    <w:p>
      <w:pPr>
        <w:keepLines/>
      </w:pPr>
      <w:r>
        <w:t>推定も、いま説明した順番で進めます。まず各ペアのbridgeを推定して、重み付きの分布を作ります。その後、ペアどうしに共通する潜在クラスモデルを当てはめます。使うのは、ペアごとの対数密度をbridgeで重み付けして足したcompositeな基準です。</w:t>
      </w:r>
    </w:p>
    <w:p>
      <w:pPr>
        <w:keepLines/>
      </w:pPr>
      <w:r>
        <w:t>識別の結果によって、母集団でどの値を目指すかが決まります。ただ、それだけで標本からの推定が安定するわけではありません。一様収束や真値での最大値の分離、滑らかさ、bridgeの正則性など、推定の条件も必要です。詳しい条件はAppendixに残しています。</w:t>
      </w:r>
    </w:p>
    <w:p>
      <w:pPr>
        <w:keepLines/>
      </w:pPr>
      <w:r>
        <w:t>次の定理では、固定した有限次元のbridgeについて、一致性と漸近正規性を示します。分散には、最初にbridgeを推定した誤差も入れます。bridgeの次元を増やすsieveの理論まで示しているわけではない、という範囲も押さえておきます。</w:t>
      </w:r>
    </w:p>
    <w:p>
      <w:pPr>
        <w:spacing w:after="20"/>
      </w:pPr>
    </w:p>
    <w:p>
      <w:pPr>
        <w:pStyle w:val="Heading1"/>
      </w:pPr>
      <w:r>
        <w:t>Slide 13  New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14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15  Simulation targets in the model</w:t>
      </w:r>
    </w:p>
    <w:p>
      <w:pPr>
        <w:keepLines/>
      </w:pPr>
      <w:r>
        <w:t>ここからシミュレーションです。Xは固定し、Fは二つのクラスとします。図は、Z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16  Outcome and latent parameters</w:t>
      </w:r>
    </w:p>
    <w:p>
      <w:pPr>
        <w:keepLines/>
      </w:pPr>
      <w:r>
        <w:t>次に、何を評価するかです。第一段階のミューjは、母集団全体でY jが1になる確率です。p S,cは、ペアの00、01、10、11それぞれの確率です。Y 2とY 3、およびY 1とそれぞれを組にしたペアを見ます。</w:t>
      </w:r>
    </w:p>
    <w:p>
      <w:pPr>
        <w:keepLines/>
      </w:pPr>
      <w:r>
        <w:t>これに対して第二段階のp fはクラスの比率、M jfはクラスfで項目jが1になる確率を表します。M jfは三項目かける二クラスで六つ、クラス比率はp 2を評価します。Yの分布が戻ることと、その背後の潜在構造が分かることを、分けて見ていきます。</w:t>
      </w:r>
    </w:p>
    <w:p>
      <w:pPr>
        <w:spacing w:after="20"/>
      </w:pPr>
    </w:p>
    <w:p>
      <w:pPr>
        <w:pStyle w:val="Heading1"/>
      </w:pPr>
      <w:r>
        <w:t>Slide 17  Simulation design: five estimators</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後で見る提案法の項目ごとの確率は、潜在分解をする前の第一段階の結果です。他の四手法は、当てはめたモデルからYの分布を求めています。</w:t>
      </w:r>
    </w:p>
    <w:p>
      <w:pPr>
        <w:spacing w:after="20"/>
      </w:pPr>
    </w:p>
    <w:p>
      <w:pPr>
        <w:pStyle w:val="Heading1"/>
      </w:pPr>
      <w:r>
        <w:t>Slide 18  Simulation evaluation criteria</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19  Population outcome recovery: bias and SD</w:t>
      </w:r>
    </w:p>
    <w:p>
      <w:pPr>
        <w:keepLines/>
      </w:pPr>
      <w:r>
        <w:t>まず、潜在構造に分ける前に、Yの分布が戻っているかを見ます。このページでは、ミュー2とミュー3について、五つの手法のbiasとSDを比べます。</w:t>
      </w:r>
    </w:p>
    <w:p>
      <w:pPr>
        <w:keepLines/>
      </w:pPr>
      <w:r>
        <w:t>提案法は、MARと誤指定したselection likelihoodよりbiasの絶対値が小さくなっています。ミュー2とミュー3の真値は0.475と0.4925で、提案法のbiasはマイナス0.0099とマイナス0.0096です。SDはそれぞれ0.0379と0.0345でした。平均的なずれと、反復ごとのばらつきを分けて見ています。</w:t>
      </w:r>
    </w:p>
    <w:p>
      <w:pPr>
        <w:spacing w:after="20"/>
      </w:pPr>
    </w:p>
    <w:p>
      <w:pPr>
        <w:pStyle w:val="Heading1"/>
      </w:pPr>
      <w:r>
        <w:t>Slide 20  Population outcome recovery: SE and coverage</w:t>
      </w:r>
    </w:p>
    <w:p>
      <w:pPr>
        <w:keepLines/>
      </w:pPr>
      <w:r>
        <w:t>続いて、不確実性をうまく測れているかを見ます。提案法の平均SEは、ミュー2で0.0365、ミュー3で0.0339です。前のページのSD、0.0379と0.0345に近く、実際の推定値のばらつきをおおむね捉えています。coverageは94パーセントと93パーセント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21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22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23  Contribution &amp; Limitation &amp; Future Work</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効率の面でも、クラス比率のRMSEは、正しく指定したselection likelihoodより大きくなることがあります。常に一番精度が高い、と言っているわけではありません。</w:t>
      </w:r>
    </w:p>
    <w:p>
      <w:pPr>
        <w:keepLines/>
      </w:pPr>
      <w:r>
        <w:t>今後の課題は、有限次元のbridgeについて示した推測理論を、標本数とともに次元を増やすsieveへ広げることです。そのためには、収束速度や逆問題について追加の理論が必要です。</w:t>
      </w:r>
    </w:p>
    <w:p>
      <w:pPr>
        <w:spacing w:after="20"/>
      </w:pPr>
    </w:p>
    <w:p>
      <w:pPr>
        <w:pStyle w:val="Heading1"/>
      </w:pPr>
      <w:r>
        <w:t>Slide 24  Selected references</w:t>
      </w:r>
    </w:p>
    <w:p>
      <w:pPr>
        <w:keepLines/>
      </w:pPr>
      <w:r>
        <w:t>主に参照した文献を二枚に分けています。このページのAllman、Matias、Rhodesは潜在分解の一意性、d’HaultfoeuilleはMissing IVを使った分布の回復、Heckmanは選択バイアスの議論に対応します。</w:t>
      </w:r>
    </w:p>
    <w:p>
      <w:pPr>
        <w:spacing w:after="20"/>
      </w:pPr>
    </w:p>
    <w:p>
      <w:pPr>
        <w:pStyle w:val="Heading1"/>
      </w:pPr>
      <w:r>
        <w:t>Slide 25  Selected references (continued)</w:t>
      </w:r>
    </w:p>
    <w:p>
      <w:pPr>
        <w:keepLines/>
      </w:pPr>
      <w:r>
        <w:t>こちらは続きです。識別の言葉遣いはLewbel、欠測の分類はLittleとRubinを参照しています。Miaoらはshadow variableとcomplete-caseでのcompleteness、ZhaoとShaoは共変量を調整した除外制約と半パラメトリックな推定の背景です。</w:t>
      </w:r>
    </w:p>
    <w:p>
      <w:pPr>
        <w:spacing w:after="20"/>
      </w:pPr>
    </w:p>
    <w:p>
      <w:pPr>
        <w:pStyle w:val="Heading1"/>
      </w:pPr>
      <w:r>
        <w:t>Appendix Slide 26  Motivation and objective</w:t>
      </w:r>
    </w:p>
    <w:p>
      <w:pPr>
        <w:keepLines/>
      </w:pPr>
      <w:r>
        <w:t>ここで、なぜ二つの識別をつなぐ必要があるのかを見ます。Dはどの項目が見えたか、Wは潜在分布を動かす変数です。仮に、Y、F、Xを条件づけると、DとWは独立だとします。これが上の式です。</w:t>
      </w:r>
    </w:p>
    <w:p>
      <w:pPr>
        <w:keepLines/>
      </w:pPr>
      <w:r>
        <w:t>でもFは見えないので、平均して消す必要があります。すると下の式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下の二つの欄で役割を分けています。Z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Appendix Slide 27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Appendix Slide 28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Appendix Slide 29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Appendix Slide 30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Appendix Slide 31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Appendix Slide 32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Appendix Slide 33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Appendix Slide 34  Two marginal views of the model</w:t>
      </w:r>
    </w:p>
    <w:p>
      <w:pPr>
        <w:keepLines/>
      </w:pPr>
      <w:r>
        <w:t>同じモデルを、見る変数を変えて二つに分けた図です。左は、ZとDについて平均した測定モデルです。Fと項目の関係を見ています。U SからY Sへの矢印はXの効果だけで、Wは測定核には入りません。項目間の局所独立性は、仮定4の積の式で置いています。</w:t>
      </w:r>
    </w:p>
    <w:p>
      <w:pPr>
        <w:keepLines/>
      </w:pPr>
      <w:r>
        <w:t>右は、Fとblock外の項目について平均した図です。Z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左右を合体させて一つのDAGとして読むものではありません。特に、この図からFとZの追加の独立性を読み取ることはしません。</w:t>
      </w:r>
    </w:p>
    <w:p>
      <w:pPr>
        <w:spacing w:after="20"/>
      </w:pPr>
    </w:p>
    <w:p>
      <w:pPr>
        <w:pStyle w:val="Heading1"/>
      </w:pPr>
      <w:r>
        <w:t>Appendix Slide 35  Overlapping supported blocks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Appendix Slide 36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Appendix Slide 37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Appendix Slide 38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Appendix Slide 39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ここではXをxに固定します。式のp fがクラスの比率、GがクラスごとのWの分布、M jがクラスごとの測定核です。これらをまとめたものがシータで、ファイxは、シータからペアの確率を並べたテンソルTを作る対応です。同じ観測データの分布を作る値どうしは、Lewbelの言葉でobservationally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Appendix Slide 40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Appendix Slide 41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Appendix Slide 42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Appendix Slide 43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Appendix Slide 44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Appendix Slide 45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Appendix Slide 46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Appendix Slide 47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Appendix Slide 48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Appendix Slide 49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Appendix Slide 50  Proof sketch for Proposition 1</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keepLines/>
      </w:pPr>
      <w:r>
        <w:t>補題2.1も同じ証明です。全項目を一つのblockと見て、二つのbridgeの逆数の差を取り、complete-case completenessとpositivityで一意性を示します。最後にIPWで全体の分布を回復します。</w:t>
      </w:r>
    </w:p>
    <w:p>
      <w:pPr>
        <w:spacing w:after="20"/>
      </w:pPr>
    </w:p>
    <w:p>
      <w:pPr>
        <w:pStyle w:val="Heading1"/>
      </w:pPr>
      <w:r>
        <w:t>Appendix Slide 51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Appendix Slide 52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53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54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55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56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57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クラス1と2で、Wが1となる確率は0.20と0.80です。Y 1が1となる確率は0.15と0.80、Y 2は0.25と0.75、Y 3は0.20と0.85です。これらの測定核をクラスごとに掛け、クラス比率で平均すると、母集団の分布になります。</w:t>
      </w:r>
    </w:p>
    <w:p>
      <w:pPr>
        <w:spacing w:after="20"/>
      </w:pPr>
    </w:p>
    <w:p>
      <w:pPr>
        <w:pStyle w:val="Heading1"/>
      </w:pPr>
      <w:r>
        <w:t>Appendix Slide 58  selection and shadow calibration</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