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46枚に対応した、日本語の発表原稿です。欠測した人も含む分布をまず回復し、その後で潜在クラスの比率と測定核を分ける、という流れで説明します。各スライドの仮定と数値は残し、本編では証明の流れを、Appendixでは8ステップの詳細を説明し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基礎概念、既存研究、二段階の識別戦略</w:t>
            </w:r>
          </w:p>
        </w:tc>
      </w:tr>
      <w:tr>
        <w:tc>
          <w:tcPr>
            <w:tcW w:type="dxa" w:w="2232"/>
          </w:tcPr>
          <w:p>
            <w:r>
              <w:rPr>
                <w:rFonts w:ascii="Arial" w:hAnsi="Arial" w:eastAsia="BIZ UDPGothic"/>
                <w:color w:val="000000"/>
                <w:sz w:val="21"/>
              </w:rPr>
              <w:t>Slides 8–18</w:t>
            </w:r>
          </w:p>
        </w:tc>
        <w:tc>
          <w:tcPr>
            <w:tcW w:type="dxa" w:w="7344"/>
          </w:tcPr>
          <w:p>
            <w:r>
              <w:rPr>
                <w:rFonts w:ascii="Arial" w:hAnsi="Arial" w:eastAsia="BIZ UDPGothic"/>
                <w:color w:val="000000"/>
                <w:sz w:val="21"/>
              </w:rPr>
              <w:t>仮定1から7、supported-block lawの回復</w:t>
            </w:r>
          </w:p>
        </w:tc>
      </w:tr>
      <w:tr>
        <w:tc>
          <w:tcPr>
            <w:tcW w:type="dxa" w:w="2232"/>
          </w:tcPr>
          <w:p>
            <w:r>
              <w:rPr>
                <w:rFonts w:ascii="Arial" w:hAnsi="Arial" w:eastAsia="BIZ UDPGothic"/>
                <w:color w:val="000000"/>
                <w:sz w:val="21"/>
              </w:rPr>
              <w:t>Slides 19–26</w:t>
            </w:r>
          </w:p>
        </w:tc>
        <w:tc>
          <w:tcPr>
            <w:tcW w:type="dxa" w:w="7344"/>
          </w:tcPr>
          <w:p>
            <w:r>
              <w:rPr>
                <w:rFonts w:ascii="Arial" w:hAnsi="Arial" w:eastAsia="BIZ UDPGothic"/>
                <w:color w:val="000000"/>
                <w:sz w:val="21"/>
              </w:rPr>
              <w:t>仮定3.1、有限潜在クラスのtensor分解</w:t>
            </w:r>
          </w:p>
        </w:tc>
      </w:tr>
      <w:tr>
        <w:tc>
          <w:tcPr>
            <w:tcW w:type="dxa" w:w="2232"/>
          </w:tcPr>
          <w:p>
            <w:r>
              <w:rPr>
                <w:rFonts w:ascii="Arial" w:hAnsi="Arial" w:eastAsia="BIZ UDPGothic"/>
                <w:color w:val="000000"/>
                <w:sz w:val="21"/>
              </w:rPr>
              <w:t>Slides 27–40</w:t>
            </w:r>
          </w:p>
        </w:tc>
        <w:tc>
          <w:tcPr>
            <w:tcW w:type="dxa" w:w="7344"/>
          </w:tcPr>
          <w:p>
            <w:r>
              <w:rPr>
                <w:rFonts w:ascii="Arial" w:hAnsi="Arial" w:eastAsia="BIZ UDPGothic"/>
                <w:color w:val="000000"/>
                <w:sz w:val="21"/>
              </w:rPr>
              <w:t>推定、仮定5.1、漸近理論、計算、simulation、結論、参考文献</w:t>
            </w:r>
          </w:p>
        </w:tc>
      </w:tr>
      <w:tr>
        <w:tc>
          <w:tcPr>
            <w:tcW w:type="dxa" w:w="2232"/>
          </w:tcPr>
          <w:p>
            <w:r>
              <w:rPr>
                <w:rFonts w:ascii="Arial" w:hAnsi="Arial" w:eastAsia="BIZ UDPGothic"/>
                <w:color w:val="000000"/>
                <w:sz w:val="21"/>
              </w:rPr>
              <w:t>Appendix 41–46</w:t>
            </w:r>
          </w:p>
        </w:tc>
        <w:tc>
          <w:tcPr>
            <w:tcW w:type="dxa" w:w="7344"/>
          </w:tcPr>
          <w:p>
            <w:r>
              <w:rPr>
                <w:rFonts w:ascii="Arial" w:hAnsi="Arial" w:eastAsia="BIZ UDPGothic"/>
                <w:color w:val="000000"/>
                <w:sz w:val="21"/>
              </w:rPr>
              <w:t>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5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keepLines/>
      </w:pPr>
      <w:r>
        <w:t>もう一つ、欠測モデルをどこまで決めるか、という問題があります。ZhaoとShaoが議論しているように、outcomeと欠測機構を含むモデル全体を正しく指定できれば、パラメトリックな尤度法は効率の面で有力です。ただし、selectionの関数形を間違えるとバイアスが出ます。そこで彼らは、outcomeのモデルを残しつつ、欠測機構は特定しない半パラメトリックな方法を考えています。</w:t>
      </w:r>
    </w:p>
    <w:p>
      <w:pPr>
        <w:keepLines/>
      </w:pPr>
      <w:r>
        <w:t>本稿でも、selectionの関数形を決めずにノンパラメトリックに分布を回復することを重視します。ただし、何も仮定しなくてよいという意味ではありません。Missing IVやcompletenessは必要です。後半で正指定と誤指定のselection likelihoodを比べるのも、この違いを見るためです。</w:t>
      </w:r>
    </w:p>
    <w:p>
      <w:pPr>
        <w:keepLines/>
      </w:pPr>
      <w:r>
        <w:t>ここで本稿が考えるのは、その先です。欠測を補正してYの分布が分かっても、それだけでQ Fと各Q jが別々に分かるわけではありません。MNARの下での分布の回復を、潜在クラス比率と測定核の一意な分解へ、どうつなぐか。ここが今回の問題です。</w:t>
      </w:r>
    </w:p>
    <w:p>
      <w:pPr>
        <w:spacing w:after="20"/>
      </w:pPr>
    </w:p>
    <w:p>
      <w:pPr>
        <w:pStyle w:val="Heading1"/>
      </w:pPr>
      <w:r>
        <w:t>Slide 6  Motivation and objective</w:t>
      </w:r>
    </w:p>
    <w:p>
      <w:pPr>
        <w:keepLines/>
      </w:pPr>
      <w:r>
        <w:t>ここで、なぜ二つの識別をつなぐ必要があるのかを、本文の式5と6で見ます。Dはどの項目が見えたか、Wは潜在分布を動かす変数です。仮に、Y、F、Xを条件づけると、DとWは独立だとします。これが式5です。</w:t>
      </w:r>
    </w:p>
    <w:p>
      <w:pPr>
        <w:keepLines/>
      </w:pPr>
      <w:r>
        <w:t>でもFは見えないので、平均して消す必要があります。すると式6の赤い部分、Y、W、Xを見た後のFの分布が残ります。この分布はWによって変わりうるので、積分した後までDとWが独立とは言えません。つまり、latent shifterのWを、そのままMissing IVとしては使えないわけです。</w:t>
      </w:r>
    </w:p>
    <w:p>
      <w:pPr>
        <w:keepLines/>
      </w:pPr>
      <w:r>
        <w:t>右側で二つの役割を分けています。Z SはY Sと関連し、Y Sと共変量を押さえると欠測指標R Sとは独立になる変数です。これを使って、第一段階で欠測による偏りを補正します。一方、WはFの分布を動かし、第二段階で潜在構造を分けるための三つ目のviewを与えます。</w:t>
      </w:r>
    </w:p>
    <w:p>
      <w:pPr>
        <w:keepLines/>
      </w:pPr>
      <w:r>
        <w:t>逆に、Missing IVでYの分布だけを回復しても、Q Fと各Q jへの分解が一つに決まるとは限りません。そこで、Stage 1の分布の回復と、Stage 2の潜在分解を接続します。selection modelの関数形を決めず、有限潜在クラスの比率と測定核を同時に識別するのが目的です。もちろん、有限クラスの測定モデル、ランクや共通ラベルの条件は置きます。この目的に対して、次のページで具体的な識別戦略を示します。</w:t>
      </w:r>
    </w:p>
    <w:p>
      <w:pPr>
        <w:spacing w:after="20"/>
      </w:pPr>
    </w:p>
    <w:p>
      <w:pPr>
        <w:pStyle w:val="Heading1"/>
      </w:pPr>
      <w:r>
        <w:t>Slide 7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Slide 8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Slide 9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Slide 10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Slide 11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Slide 12  Lemma 2.1</w:t>
      </w:r>
    </w:p>
    <w:p>
      <w:pPr>
        <w:keepLines/>
      </w:pPr>
      <w:r>
        <w:t>まず、Missing IVをベクトルYへそのまま広げる方法を、補題2.1として整理します。全項目がそろった人をcomplete caseとし、各D jの積をRとします。UはXとW、P 1はcomplete caseの中でのYとUの分布です。</w:t>
      </w:r>
    </w:p>
    <w:p>
      <w:pPr>
        <w:keepLines/>
      </w:pPr>
      <w:r>
        <w:t>条件は、YとUを押さえたときのRとZの独立性、対象全体で正の観測確率、それからcomplete-caseでのcompletenessです。正確には、観測確率の逆数と候補の逆数を、P 1の下で二乗平均が有限な関数に限ります。この範囲で、式を満たすパイが一つに決まります。</w:t>
      </w:r>
    </w:p>
    <w:p>
      <w:pPr>
        <w:keepLines/>
      </w:pPr>
      <w:r>
        <w:t>証明は、二つの解があるとして逆数の差を取ります。completenessでその差がゼロと分かり、positivityでその一致を母集団全体へ広げます。あとは逆確率で重み付けすれば、Y、Z、Uの分布を回復できます。</w:t>
      </w:r>
    </w:p>
    <w:p>
      <w:pPr>
        <w:keepLines/>
      </w:pPr>
      <w:r>
        <w:t>これは既存のMissing IVの直接の多次元拡張です。ただし、全項目がそろう確率が、対象全体で正である必要があります。そこで次に、この条件を小さなblockごとに置き直します。</w:t>
      </w:r>
    </w:p>
    <w:p>
      <w:pPr>
        <w:spacing w:after="20"/>
      </w:pPr>
    </w:p>
    <w:p>
      <w:pPr>
        <w:pStyle w:val="Heading1"/>
      </w:pPr>
      <w:r>
        <w:t>Slide 13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Slide 14  Two marginal views of the model</w:t>
      </w:r>
    </w:p>
    <w:p>
      <w:pPr>
        <w:keepLines/>
      </w:pPr>
      <w:r>
        <w:t>同じモデルを、見る変数を変えて二つに分けた図です。上は、ZとDについて平均した測定モデルです。Fと項目の関係を見ています。U SからY Sへの矢印はXの効果だけで、Wは測定核には入りません。項目間の局所独立性は、仮定4の積の式で置いています。</w:t>
      </w:r>
    </w:p>
    <w:p>
      <w:pPr>
        <w:keepLines/>
      </w:pPr>
      <w:r>
        <w:t>下は、Fとblock外の項目について平均した図です。Z SからY S、Y SからR Sへ矢印を引いています。Y SとU Sが決まると、Z SとR Sが独立になる関係です。ここでいうfull-data lawは、回答者だけでなく、欠測した人も含む母集団の分布です。図にY Sがあっても、全員で見えているという意味ではありません。</w:t>
      </w:r>
    </w:p>
    <w:p>
      <w:pPr>
        <w:keepLines/>
      </w:pPr>
      <w:r>
        <w:t>上下を合体させて一つのDAGとして読むものではありません。特に、この図からFとZの追加の独立性を読み取ることはしません。</w:t>
      </w:r>
    </w:p>
    <w:p>
      <w:pPr>
        <w:spacing w:after="20"/>
      </w:pPr>
    </w:p>
    <w:p>
      <w:pPr>
        <w:pStyle w:val="Heading1"/>
      </w:pPr>
      <w:r>
        <w:t>Slide 15  Overlapping supported blocks replace global complete cases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Slide 16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Slide 17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Slide 18  Proof sketch the observable bridge is unique</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spacing w:after="20"/>
      </w:pPr>
    </w:p>
    <w:p>
      <w:pPr>
        <w:pStyle w:val="Heading1"/>
      </w:pPr>
      <w:r>
        <w:t>Slide 19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Slide 20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分けたいのは三つです。p fがクラスの比率、GがクラスごとのWの分布、M jがクラスごとの測定核です。同じ観測データの分布を作る値どうしは、Lewbelの言葉でobservationally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Slide 21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Slide 22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Slide 23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Slide 24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Slide 25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Slide 26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Slide 27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Slide 28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Slide 29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Slide 30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Slide 31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Slide 32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33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34  Simulation targets in the model</w:t>
      </w:r>
    </w:p>
    <w:p>
      <w:pPr>
        <w:keepLines/>
      </w:pPr>
      <w:r>
        <w:t>ここからシミュレーションです。Xは固定し、Fは二つのクラスとします。図の下は、Z SからY S、Y SからR Sという流れです。FからZ Sへも矢印があります。FとZ Sは関連するので、ここを独立にしてはいけません。Wと三つのYは全て二値です。Y 1はいつも見えているので、ペアが全部見えるかどうかは、もう一方のD jで決まります。</w:t>
      </w:r>
    </w:p>
    <w:p>
      <w:pPr>
        <w:keepLines/>
      </w:pPr>
      <w:r>
        <w:t>生成するときは、FとWの後に、Zの組を先に、Yの組を後に作ります。AがFの下でのZの分布、BがFとZの下でのYの分布です。最後に、そのYを使ってD 2とD 3を独立に生成します。ここはBayes則で書き直しているだけなので、欠測指標まで含めた同時分布は変わりません。Zについて平均すると、元の測定核の積に戻ります。図はそのうち一つのblockを示しています。</w:t>
      </w:r>
    </w:p>
    <w:p>
      <w:pPr>
        <w:keepLines/>
      </w:pPr>
      <w:r>
        <w:t>右側は、何を評価するかです。第一段階のミューjは、母集団全体でY jが1になる確率です。p S,cは、ペアの00、01、10、11それぞれの確率です。これに対して第二段階のp fはクラスの比率、M jfはクラスfで項目jが1になる確率を表します。M jfは三項目かける二クラスで六つ、クラス比率はp 2を評価します。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35  Simulation design: estimators and evaluation</w:t>
      </w:r>
    </w:p>
    <w:p>
      <w:pPr>
        <w:keepLines/>
      </w:pPr>
      <w:r>
        <w:t>比較するのは五つです。一つ目は、欠測前の全データを使うoracleです。二つ目は、欠測を無視できると考えて観測尤度を使うMARです。三つ目は、欠測のlogisticモデルを正しく指定したselection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次の図で見る提案法のYの分布は、潜在分解をする前の第一段階の結果です。他の四手法は、当てはめたモデルからYの分布を求めています。</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36  Population outcome recovery</w:t>
      </w:r>
    </w:p>
    <w:p>
      <w:pPr>
        <w:keepLines/>
      </w:pPr>
      <w:r>
        <w:t>まず、潜在構造に分ける前に、Yの分布が戻っているかを見ます。横軸が五つの手法、青い実線がミュー2、オレンジの破線がミュー3です。上がbiasとSD、下が平均SEとcoverageです。</w:t>
      </w:r>
    </w:p>
    <w:p>
      <w:pPr>
        <w:keepLines/>
      </w:pPr>
      <w:r>
        <w:t>提案法は、MARと誤指定したselection likelihoodよりbiasの絶対値が小さくなっています。SDと平均SEも近く、coverageは94パーセントと93パーセントでした。この設定では、推定した標準誤差が、実際の推定値のばらつきをおおむね捉えています。</w:t>
      </w:r>
    </w:p>
    <w:p>
      <w:pPr>
        <w:keepLines/>
      </w:pPr>
      <w:r>
        <w:t>数字を補足すると、ミュー2とミュー3の真値は0.475と0.4925です。提案法のbiasはマイナス0.0099とマイナス0.0096です。SDと平均SEは、ミュー2で0.0379と0.0365、ミュー3で0.0345と0.0339でした。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37  Stage-2 full joint law</w:t>
      </w:r>
    </w:p>
    <w:p>
      <w:pPr>
        <w:keepLines/>
      </w:pPr>
      <w:r>
        <w:t>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38  Latent-parameter recovery</w:t>
      </w:r>
    </w:p>
    <w:p>
      <w:pPr>
        <w:keepLines/>
      </w:pPr>
      <w:r>
        <w:t>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39  Conclusion and limits</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また、クラス比率のRMSEは、正しく指定したselection likelihoodより大きくなることがあります。漸近理論も、ここでは有限次元のbridgeに限ります。次元を増やすsieveまで広げるには、逆問題としての追加の条件が要ります。欠測モデルの形を決めずに回復と分解をつなげられることが、今回のポイントです。</w:t>
      </w:r>
    </w:p>
    <w:p>
      <w:pPr>
        <w:spacing w:after="20"/>
      </w:pPr>
    </w:p>
    <w:p>
      <w:pPr>
        <w:pStyle w:val="Heading1"/>
      </w:pPr>
      <w:r>
        <w:t>Slide 40  Selected references</w:t>
      </w:r>
    </w:p>
    <w:p>
      <w:pPr>
        <w:keepLines/>
      </w:pPr>
      <w:r>
        <w:t>主に参照した文献はこちらです。第一段階はd’HaultfoeuilleとZhao、Shao、complete-caseでのcompletenessはMiaoらを参照しています。第二段階はAllman、Matias、Rhodesです。識別の言葉遣いはLewbel、欠測の分類はLittleとRubin、選択バイアスはHeckmanに沿っています。</w:t>
      </w:r>
    </w:p>
    <w:p>
      <w:pPr>
        <w:spacing w:after="20"/>
      </w:pPr>
    </w:p>
    <w:p>
      <w:pPr>
        <w:pStyle w:val="Heading1"/>
      </w:pPr>
      <w:r>
        <w:t>Appendix Slide 41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42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43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44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45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46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1の100パーセントと合わせて、三項目平均で80パーセントです。行列Hは、ペアの値とZ Sの関連を決めるためのものです。そこからBayes則でZを先に作る条件付き分布を計算します。Z Sは常に観測します。</w:t>
      </w:r>
    </w:p>
    <w:p>
      <w:pPr>
        <w:keepLines/>
      </w:pPr>
      <w:r>
        <w:t>今回掲載している100反復の結果は、同じ同時分布をY先行で生成したものです。Z先行の生成方法へ書き直しても、母集団の分布は変わりません。ただし、同じseedでも出てくる標本は変わるため、数値を完全に再現するための旧生成方法も残しています。生成順序を変えたことだけで、因果効果まで識別したという話ではありません。</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