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46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8–18</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19–26</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27–40</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41–46</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5  Related identification results</w:t>
      </w:r>
    </w:p>
    <w:p>
      <w:pPr>
        <w:keepLines/>
      </w:pPr>
      <w:r>
        <w:t>関連研究は、ここでは三つの流れに分けています。一つ目は、d’HaultfoeuilleやZhaoとShaoらのMissing IVです。二つ目は、TangらやNiとShaoらの、複数項目のMNARを扱う研究です。欠測パターンや項目ごとの欠測に、どのような制約を置くかを考えています。</w:t>
      </w:r>
    </w:p>
    <w:p>
      <w:pPr>
        <w:keepLines/>
      </w:pPr>
      <w:r>
        <w:t>三つ目が潜在構造です。Allmanらはテンソル分解の一意性を扱っています。また、Muthénら、LeeとTang、Jungら、KanoとTakai、Kuhaらなど、潜在変数とMNARを一緒に扱う研究も既にあります。近年はXieらの深層学習を使う研究もあります。</w:t>
      </w:r>
    </w:p>
    <w:p>
      <w:pPr>
        <w:keepLines/>
      </w:pPr>
      <w:r>
        <w:t>ですので、新しいのは潜在変数とMNARを一緒に扱うこと自体ではありません。欠測モデルのパラメトリックな形を決めずにblockの分布を回復し、それを共通のラベルを持つ潜在構造につなぐ。この二段階を、一つの識別定理として示す点です。</w:t>
      </w:r>
    </w:p>
    <w:p>
      <w:pPr>
        <w:spacing w:after="20"/>
      </w:pPr>
    </w:p>
    <w:p>
      <w:pPr>
        <w:pStyle w:val="Heading1"/>
      </w:pPr>
      <w:r>
        <w:t>Slide 6  Proposed two-stage identification</w:t>
      </w:r>
    </w:p>
    <w:p>
      <w:pPr>
        <w:keepLines/>
      </w:pPr>
      <w:r>
        <w:t>先に、本研究の流れをお見せし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7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8  A latent shifter is not a Missing IV</w:t>
      </w:r>
    </w:p>
    <w:p>
      <w:pPr>
        <w:keepLines/>
      </w:pPr>
      <w:r>
        <w:t>ここは少し注意が必要です。潜在分布を動かすWと、欠測を補正するZ Sは、同じ役割ではありません。Fまで条件づけるとDとWが独立でも、Fを平均して消すと、Y、W、Xの下でのFの分布が式に残ります。この分布は、一般にはWによって変わります。</w:t>
      </w:r>
    </w:p>
    <w:p>
      <w:pPr>
        <w:keepLines/>
      </w:pPr>
      <w:r>
        <w:t>つまり、Wがlatent shifterだからといって、そのままMissing IVに使えるわけではありません。Z Sは欠測による偏りを取り除くために使います。Wは、その後の分布を潜在構造に分けるとき、三つ目のviewとして使います。まず回復して、その後で分解する、という順番になります。</w:t>
      </w:r>
    </w:p>
    <w:p>
      <w:pPr>
        <w:spacing w:after="20"/>
      </w:pPr>
    </w:p>
    <w:p>
      <w:pPr>
        <w:pStyle w:val="Heading1"/>
      </w:pPr>
      <w:r>
        <w:t>Slide 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12  A simple multivariate extension</w:t>
      </w:r>
    </w:p>
    <w:p>
      <w:pPr>
        <w:keepLines/>
      </w:pPr>
      <w:r>
        <w:t>ここで、Yを一つの変数ではなく、複数項目のベクトルにしてみます。一番単純なのは、全項目がそろった人だけをcomplete caseとして使う方法です。各項目が見えたかをD jで表し、その積をRとします。</w:t>
      </w:r>
    </w:p>
    <w:p>
      <w:pPr>
        <w:keepLines/>
      </w:pPr>
      <w:r>
        <w:t>ベクトルYに対しても、Missing IVとcompletenessの条件が成り立ち、対象となる値ごとの観測確率が正なら、同じ考え方で母集団分布を回復できます。ただ、項目が増えると全てがそろう人は少なくなります。そこで、全項目ではなく、小さな組ごとに回復する方法へ進みます。</w:t>
      </w:r>
    </w:p>
    <w:p>
      <w:pPr>
        <w:spacing w:after="20"/>
      </w:pPr>
    </w:p>
    <w:p>
      <w:pPr>
        <w:pStyle w:val="Heading1"/>
      </w:pPr>
      <w:r>
        <w:t>Slide 13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14  Two marginal views of the model</w:t>
      </w:r>
    </w:p>
    <w:p>
      <w:pPr>
        <w:keepLines/>
      </w:pPr>
      <w:r>
        <w:t>同じモデルを、見る変数を変えて二つに分けた図です。上は、ZとDについて平均した測定モデルです。Fと項目の関係を見ています。U SからY Sへの矢印はXの効果だけで、Wは測定核には入りません。項目間の局所独立性は、仮定4の積の式で置いています。</w:t>
      </w:r>
    </w:p>
    <w:p>
      <w:pPr>
        <w:keepLines/>
      </w:pPr>
      <w:r>
        <w:t>下は、Fとblock外の項目について平均した図です。Y SとU Sが決まると、Z SとR Sが独立になる関係を表しています。ここでいうfull-data lawは、回答者だけでなく、欠測した人も含む母集団の分布です。図にY Sがあっても、全員で見えているという意味ではありません。</w:t>
      </w:r>
    </w:p>
    <w:p>
      <w:pPr>
        <w:keepLines/>
      </w:pPr>
      <w:r>
        <w:t>上下を合体させて一つのDAGとして読むものではありません。特に、この図からFとZの追加の独立性を読み取ることはしません。</w:t>
      </w:r>
    </w:p>
    <w:p>
      <w:pPr>
        <w:spacing w:after="20"/>
      </w:pPr>
    </w:p>
    <w:p>
      <w:pPr>
        <w:pStyle w:val="Heading1"/>
      </w:pPr>
      <w:r>
        <w:t>Slide 15  Overlapping supported blocks replace global complete cases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18  Proof sketch the observable bridge is unique</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spacing w:after="20"/>
      </w:pPr>
    </w:p>
    <w:p>
      <w:pPr>
        <w:pStyle w:val="Heading1"/>
      </w:pPr>
      <w:r>
        <w:t>Slide 19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20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分けたいのは三つです。p fがクラスの比率、GがクラスごとのWの分布、M jがクラスごとの測定核です。同じ観測データの分布を作る値どうしは、Lewbelの言葉でobservationally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21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22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23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24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25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26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Slide 27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28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29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30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31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32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33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34  Simulation targets in the model</w:t>
      </w:r>
    </w:p>
    <w:p>
      <w:pPr>
        <w:keepLines/>
      </w:pPr>
      <w:r>
        <w:t>ここからシミュレーションです。Xは固定し、Fは二つのクラスとします。Fが決まると、Wと各Yを条件付き独立に作ります。その後、ペアの値Y SからZ SとR Sを作ります。Wと三つのYは全て二値です。Y 1はいつも見えているので、ペアが全部見えるかどうかは、もう一方のD jで決まります。</w:t>
      </w:r>
    </w:p>
    <w:p>
      <w:pPr>
        <w:keepLines/>
      </w:pPr>
      <w:r>
        <w:t>右側は、何を評価するかです。第一段階のミューjは、母集団全体でY jが1になる確率です。p S,cは、ペアの00、01、10、11それぞれの確率です。これに対して第二段階のp fはクラスの比率、M jfはクラスfで項目jが1になる確率を表します。M jfは三項目かける二クラスで六つ、クラス比率はp 2を評価します。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35  Simulation design: estimators and evaluation</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次の図で見る提案法のYの分布は、潜在分解をする前の第一段階の結果です。他の四手法は、当てはめたモデルからYの分布を求めています。</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36  Population outcome recovery</w:t>
      </w:r>
    </w:p>
    <w:p>
      <w:pPr>
        <w:keepLines/>
      </w:pPr>
      <w:r>
        <w:t>まず、潜在構造に分ける前に、Yの分布が戻っているかを見ます。横軸が五つの手法、青い実線がミュー2、オレンジの破線がミュー3です。上がbiasとSD、下が平均SEとcoverageです。</w:t>
      </w:r>
    </w:p>
    <w:p>
      <w:pPr>
        <w:keepLines/>
      </w:pPr>
      <w:r>
        <w:t>提案法は、MARと誤指定したselection likelihoodよりbiasの絶対値が小さくなっています。SDと平均SEも近く、coverageは94パーセントと93パーセントでした。この設定では、推定した標準誤差が、実際の推定値のばらつきをおおむね捉えています。</w:t>
      </w:r>
    </w:p>
    <w:p>
      <w:pPr>
        <w:keepLines/>
      </w:pPr>
      <w:r>
        <w:t>数字を補足すると、ミュー2とミュー3の真値は0.475と0.4925です。提案法のbiasはマイナス0.0099とマイナス0.0096です。SDと平均SEは、ミュー2で0.0379と0.0365、ミュー3で0.0345と0.0339でした。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37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38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39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40  Selected references</w:t>
      </w:r>
    </w:p>
    <w:p>
      <w:pPr>
        <w:keepLines/>
      </w:pPr>
      <w:r>
        <w:t>主に参照した文献はこちらです。第一段階はd’HaultfoeuilleとZhao、Shao、complete-caseでのcompletenessはMiaoらを参照しています。第二段階はAllman、Matias、Rhodesです。識別の言葉遣いはLewbel、欠測の分類はLittleとRubin、選択バイアスはHeckmanに沿っています。</w:t>
      </w:r>
    </w:p>
    <w:p>
      <w:pPr>
        <w:spacing w:after="20"/>
      </w:pPr>
    </w:p>
    <w:p>
      <w:pPr>
        <w:pStyle w:val="Heading1"/>
      </w:pPr>
      <w:r>
        <w:t>Appendix Slide 41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42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43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44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45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46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1の100パーセントと合わせて、三項目平均で80パーセントです。Z Sは、ペアの四つのセルに依存するフルランクの行列Hから作り、いつも観測します。</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