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58枚に対応した、日本語の発表原稿です。欠測した人も含む分布をまず回復し、その後で潜在クラスの比率と測定核を分ける、という流れで説明します。本編25枚では二段階の要約、推定理論、従来の計算手順とシミュレーション設定、MNARの数値結果を説明します。掲載数値は既存のMNAR実験の五手法比較に限り、新しいTカテゴリ候補の結果ではありません。26枚目からのAppendixには、元の詳細な動機、仮定、識別と推定の議論を残し、その後に証明と数値設定を収めてい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1–8</w:t>
            </w:r>
          </w:p>
        </w:tc>
        <w:tc>
          <w:tcPr>
            <w:tcW w:type="dxa" w:w="7344"/>
          </w:tcPr>
          <w:p>
            <w:r>
              <w:rPr>
                <w:rFonts w:ascii="Arial" w:hAnsi="Arial" w:eastAsia="BIZ UDPGothic"/>
                <w:color w:val="000000"/>
                <w:sz w:val="21"/>
              </w:rPr>
              <w:t>基礎概念、既存研究、問題設定</w:t>
            </w:r>
          </w:p>
        </w:tc>
      </w:tr>
      <w:tr>
        <w:tc>
          <w:tcPr>
            <w:tcW w:type="dxa" w:w="2232"/>
          </w:tcPr>
          <w:p>
            <w:r>
              <w:rPr>
                <w:rFonts w:ascii="Arial" w:hAnsi="Arial" w:eastAsia="BIZ UDPGothic"/>
                <w:color w:val="000000"/>
                <w:sz w:val="21"/>
              </w:rPr>
              <w:t>Slides 9–12</w:t>
            </w:r>
          </w:p>
        </w:tc>
        <w:tc>
          <w:tcPr>
            <w:tcW w:type="dxa" w:w="7344"/>
          </w:tcPr>
          <w:p>
            <w:r>
              <w:rPr>
                <w:rFonts w:ascii="Arial" w:hAnsi="Arial" w:eastAsia="BIZ UDPGothic"/>
                <w:color w:val="000000"/>
                <w:sz w:val="21"/>
              </w:rPr>
              <w:t>二段階の要約 分布の回復、重なるペア、潜在構造の識別、推定への接続</w:t>
            </w:r>
          </w:p>
        </w:tc>
      </w:tr>
      <w:tr>
        <w:tc>
          <w:tcPr>
            <w:tcW w:type="dxa" w:w="2232"/>
          </w:tcPr>
          <w:p>
            <w:r>
              <w:rPr>
                <w:rFonts w:ascii="Arial" w:hAnsi="Arial" w:eastAsia="BIZ UDPGothic"/>
                <w:color w:val="000000"/>
                <w:sz w:val="21"/>
              </w:rPr>
              <w:t>Slides 13–16</w:t>
            </w:r>
          </w:p>
        </w:tc>
        <w:tc>
          <w:tcPr>
            <w:tcW w:type="dxa" w:w="7344"/>
          </w:tcPr>
          <w:p>
            <w:r>
              <w:rPr>
                <w:rFonts w:ascii="Arial" w:hAnsi="Arial" w:eastAsia="BIZ UDPGothic"/>
                <w:color w:val="000000"/>
                <w:sz w:val="21"/>
              </w:rPr>
              <w:t>漸近理論、従来の計算手順とsimulation設定、評価対象</w:t>
            </w:r>
          </w:p>
        </w:tc>
      </w:tr>
      <w:tr>
        <w:tc>
          <w:tcPr>
            <w:tcW w:type="dxa" w:w="2232"/>
          </w:tcPr>
          <w:p>
            <w:r>
              <w:rPr>
                <w:rFonts w:ascii="Arial" w:hAnsi="Arial" w:eastAsia="BIZ UDPGothic"/>
                <w:color w:val="000000"/>
                <w:sz w:val="21"/>
              </w:rPr>
              <w:t>Slides 17–25</w:t>
            </w:r>
          </w:p>
        </w:tc>
        <w:tc>
          <w:tcPr>
            <w:tcW w:type="dxa" w:w="7344"/>
          </w:tcPr>
          <w:p>
            <w:r>
              <w:rPr>
                <w:rFonts w:ascii="Arial" w:hAnsi="Arial" w:eastAsia="BIZ UDPGothic"/>
                <w:color w:val="000000"/>
                <w:sz w:val="21"/>
              </w:rPr>
              <w:t>既存MNAR実験の五手法比較、数値結果、結論、参考文献</w:t>
            </w:r>
          </w:p>
        </w:tc>
      </w:tr>
      <w:tr>
        <w:tc>
          <w:tcPr>
            <w:tcW w:type="dxa" w:w="2232"/>
          </w:tcPr>
          <w:p>
            <w:r>
              <w:rPr>
                <w:rFonts w:ascii="Arial" w:hAnsi="Arial" w:eastAsia="BIZ UDPGothic"/>
                <w:color w:val="000000"/>
                <w:sz w:val="21"/>
              </w:rPr>
              <w:t>Appendix 26–49</w:t>
            </w:r>
          </w:p>
        </w:tc>
        <w:tc>
          <w:tcPr>
            <w:tcW w:type="dxa" w:w="7344"/>
          </w:tcPr>
          <w:p>
            <w:r>
              <w:rPr>
                <w:rFonts w:ascii="Arial" w:hAnsi="Arial" w:eastAsia="BIZ UDPGothic"/>
                <w:color w:val="000000"/>
                <w:sz w:val="21"/>
              </w:rPr>
              <w:t>詳細な動機、モデルと仮定、block lawの回復、潜在識別、推定条件</w:t>
            </w:r>
          </w:p>
        </w:tc>
      </w:tr>
      <w:tr>
        <w:tc>
          <w:tcPr>
            <w:tcW w:type="dxa" w:w="2232"/>
          </w:tcPr>
          <w:p>
            <w:r>
              <w:rPr>
                <w:rFonts w:ascii="Arial" w:hAnsi="Arial" w:eastAsia="BIZ UDPGothic"/>
                <w:color w:val="000000"/>
                <w:sz w:val="21"/>
              </w:rPr>
              <w:t>Appendix 50–58</w:t>
            </w:r>
          </w:p>
        </w:tc>
        <w:tc>
          <w:tcPr>
            <w:tcW w:type="dxa" w:w="7344"/>
          </w:tcPr>
          <w:p>
            <w:r>
              <w:rPr>
                <w:rFonts w:ascii="Arial" w:hAnsi="Arial" w:eastAsia="BIZ UDPGothic"/>
                <w:color w:val="000000"/>
                <w:sz w:val="21"/>
              </w:rPr>
              <w:t>証明スケッチ、定理1の8ステップ、empirical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From outcome-law recovery to latent identification</w:t>
      </w:r>
    </w:p>
    <w:p>
      <w:pPr>
        <w:keepLines/>
      </w:pPr>
      <w:r>
        <w:t>ここで、観測される項目の分布を戻すことと、その背後にある潜在構造を知ることを分けます。この図では、ZとYの関係を潜在変数Fが媒介し、Yから観測指標Rへつながる、という簡単な場合を描いています。共変量Uは条件づけて省略しています。これは私たちの問題を説明するための図で、ZhaoとShaoがこの潜在変数モデルを仮定しているという意味ではありません。</w:t>
      </w:r>
    </w:p>
    <w:p>
      <w:pPr>
        <w:keepLines/>
      </w:pPr>
      <w:r>
        <w:t>潜在分布と測定核が与えられれば、Fを積分することで、ZとUごとのYの分布が得られます。既存のMissing IVの理論が扱うのは、この積分後のoutcome law、あるいはZhaoとShaoの場合にはGLMのパラメータです。潜在変数を明示的に置くことや、実際に積分計算することが、既存法の必須条件というわけではありません。</w:t>
      </w:r>
    </w:p>
    <w:p>
      <w:pPr>
        <w:keepLines/>
      </w:pPr>
      <w:r>
        <w:t>私たちが知りたいのは、その先です。戻したoutcomeの分布から、潜在分布と測定核をそれぞれ取り出せるか。積分する向きは書けても、逆向きの分解が一つに決まるとは限りません。そこで、その追加の識別に必要な条件を考えます。</w:t>
      </w:r>
    </w:p>
    <w:p>
      <w:pPr>
        <w:spacing w:after="20"/>
      </w:pPr>
    </w:p>
    <w:p>
      <w:pPr>
        <w:pStyle w:val="Heading1"/>
      </w:pPr>
      <w:r>
        <w:t>Slide 5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spacing w:after="20"/>
      </w:pPr>
    </w:p>
    <w:p>
      <w:pPr>
        <w:pStyle w:val="Heading1"/>
      </w:pPr>
      <w:r>
        <w:t>Slide 6  Latent models with nonignorable missingness</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7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spacing w:after="20"/>
      </w:pPr>
    </w:p>
    <w:p>
      <w:pPr>
        <w:pStyle w:val="Heading1"/>
      </w:pPr>
      <w:r>
        <w:t>Slide 8  Why leave the selection model unspecified?</w:t>
      </w:r>
    </w:p>
    <w:p>
      <w:pPr>
        <w:keepLines/>
      </w:pPr>
      <w:r>
        <w:t>もう一つ、欠測モデルをどこまで決めるか、という問題があります。ZhaoとShaoが議論しているように、outcomeと欠測機構を含むモデル全体を正しく指定できれば、パラメトリックな尤度法は効率の面で有力です。ただし、selectionの関数形を間違えるとバイアスが出ます。そこで彼らは、outcomeのモデルを残しつつ、欠測機構は特定しない半パラメトリックな方法を考えています。</w:t>
      </w:r>
    </w:p>
    <w:p>
      <w:pPr>
        <w:keepLines/>
      </w:pPr>
      <w:r>
        <w:t>本稿でも、selectionの関数形を決めずにノンパラメトリックに分布を回復することを重視します。ただし、何も仮定しなくてよいという意味ではありません。Missing IVやcompletenessは必要です。後半で正指定と誤指定のselection likelihoodを比べるのも、この違いを見るためです。</w:t>
      </w:r>
    </w:p>
    <w:p>
      <w:pPr>
        <w:keepLines/>
      </w:pPr>
      <w:r>
        <w:t>ここで本稿が考えるのは、その先です。欠測を補正してYの分布が分かっても、それだけでQ Fと各Q jが別々に分かるわけではありません。MNARの下での分布の回復を、潜在クラス比率と測定核の一意な分解へ、どうつなぐか。ここが今回の問題です。</w:t>
      </w:r>
    </w:p>
    <w:p>
      <w:pPr>
        <w:spacing w:after="20"/>
      </w:pPr>
    </w:p>
    <w:p>
      <w:pPr>
        <w:pStyle w:val="Heading1"/>
      </w:pPr>
      <w:r>
        <w:t>Slide 9  Stage 1 (1): Recover the block law</w:t>
      </w:r>
    </w:p>
    <w:p>
      <w:pPr>
        <w:keepLines/>
      </w:pPr>
      <w:r>
        <w:t>まず第一段階です。知りたいのは、回答した人だけでなく、欠測した人も含めたblockの分布です。Sは一緒に扱う項目の組、R Sはその組が全部見えているかを表します。U SにはXとWをまとめています。</w:t>
      </w:r>
    </w:p>
    <w:p>
      <w:pPr>
        <w:keepLines/>
      </w:pPr>
      <w:r>
        <w:t>ここで使うZ SがMissing IVです。項目の値とは関連しますが、その値とU Sを押さえると、blockが見えるかどうかとは独立になります。この条件から、逆観測確率を重みにした条件付きモーメントの式が出てきます。complete-caseでのcompletenessとpositivityを置くと、bridgeが一つに決まります。</w:t>
      </w:r>
    </w:p>
    <w:p>
      <w:pPr>
        <w:keepLines/>
      </w:pPr>
      <w:r>
        <w:t>あとは、blockが全部見えた人をその重みで重み付けします。すると、Y S、Z S、U Sの母集団の同時分布が戻ります。一意性は、逆観測確率がcomplete caseで二乗可積分になる、ここで定めたbridgeの範囲での結果です。欠測確率をlogisticなどの形に決めなくてよい、というのが、この段階のポイントです。</w:t>
      </w:r>
    </w:p>
    <w:p>
      <w:pPr>
        <w:spacing w:after="20"/>
      </w:pPr>
    </w:p>
    <w:p>
      <w:pPr>
        <w:pStyle w:val="Heading1"/>
      </w:pPr>
      <w:r>
        <w:t>Slide 10  Stage 1 (2): Use overlapping pairs</w:t>
      </w:r>
    </w:p>
    <w:p>
      <w:pPr>
        <w:keepLines/>
      </w:pPr>
      <w:r>
        <w:t>次に、どのblockを回復するかです。全項目が同時に見える人を集める必要はありません。基準になる二つの項目aとbのペアと、aと残りの項目jを組にしたペアを使います。項目aが共通しているので、ペアどうしが重なっています。</w:t>
      </w:r>
    </w:p>
    <w:p>
      <w:pPr>
        <w:keepLines/>
      </w:pPr>
      <w:r>
        <w:t>必要なペアごとに、先ほどのMissing IV、completeness、positivityの条件を置いて分布を回復します。得られるのは、各ペアとWの母集団の分布です。まだ潜在クラスや測定核まで分かったわけではないので、それを次の段階で分けます。</w:t>
      </w:r>
    </w:p>
    <w:p>
      <w:pPr>
        <w:keepLines/>
      </w:pPr>
      <w:r>
        <w:t>ここではZ SとWの役割も分けておきます。Z Sは欠測の偏りを補正するための変数です。Wは潜在構造を分けるための三つ目のviewになります。潜在分布を動かすWを、そのままMissing IVとして使えるとは限りません。</w:t>
      </w:r>
    </w:p>
    <w:p>
      <w:pPr>
        <w:spacing w:after="20"/>
      </w:pPr>
    </w:p>
    <w:p>
      <w:pPr>
        <w:pStyle w:val="Heading1"/>
      </w:pPr>
      <w:r>
        <w:t>Slide 11  Stage 2 (1): Identify the latent structure</w:t>
      </w:r>
    </w:p>
    <w:p>
      <w:pPr>
        <w:keepLines/>
      </w:pPr>
      <w:r>
        <w:t>第二段階では、戻したペアの分布から、その背後の潜在構造を取り出します。クラス数rは既知で有限、項目とWが取り得る値も有限とします。さらに、FとXの下での局所独立性と、Wが測定核に直接入らないことを仮定します。ランク条件は、三つのviewのKruskal rank、k a、k b、k Gの和が2rプラス2以上、というものです。</w:t>
      </w:r>
    </w:p>
    <w:p>
      <w:pPr>
        <w:keepLines/>
      </w:pPr>
      <w:r>
        <w:t>まずanchorの二項目とWの確率を、三つの方向を持つ表、テンソルに並べます。Kruskalのランク条件があると、この分解はクラスの入れ替えと大きさの調整を除いて一つに決まります。確率の和を1にし、anchorのスコアで順序をそろえると、クラス比率p、Wのクラス別分布G、二つの測定核が分かります。</w:t>
      </w:r>
    </w:p>
    <w:p>
      <w:pPr>
        <w:keepLines/>
      </w:pPr>
      <w:r>
        <w:t>残りの項目は、共通のanchorを含むペアから線形の式を解いて求めます。これで全ての測定核が同じクラス名でそろい、ベイズ則からWごとのクラス比率も分かります。この測定モデルの下では、全項目の同時分布も組み立てられます。</w:t>
      </w:r>
    </w:p>
    <w:p>
      <w:pPr>
        <w:spacing w:after="20"/>
      </w:pPr>
    </w:p>
    <w:p>
      <w:pPr>
        <w:pStyle w:val="Heading1"/>
      </w:pPr>
      <w:r>
        <w:t>Slide 12  Stage 2 (2): Connect identification to estimation</w:t>
      </w:r>
    </w:p>
    <w:p>
      <w:pPr>
        <w:keepLines/>
      </w:pPr>
      <w:r>
        <w:t>ここまでで分かったWごとのクラス比率と各測定核を使うと、任意の項目集合Aの同時分布を作れます。クラスごとに各項目の確率を掛け、ラムダfで重み付けして足す、という式です。一度も一緒に観測されていない項目にも使えますが、局所独立性など、いまの測定モデルの下での結果です。</w:t>
      </w:r>
    </w:p>
    <w:p>
      <w:pPr>
        <w:keepLines/>
      </w:pPr>
      <w:r>
        <w:t>推定も、いま説明した順番で進めます。まず各ペアのbridgeを推定して、重み付きの分布を作ります。その後、ペアどうしに共通する潜在クラスモデルを当てはめます。使うのは、ペアごとの対数密度をbridgeで重み付けして足したcompositeな基準です。</w:t>
      </w:r>
    </w:p>
    <w:p>
      <w:pPr>
        <w:keepLines/>
      </w:pPr>
      <w:r>
        <w:t>識別の結果によって、母集団でどの値を目指すかが決まります。ただ、それだけで標本からの推定が安定するわけではありません。一様収束や真値での最大値の分離、滑らかさ、bridgeの正則性など、推定の条件も必要です。詳しい条件はAppendixに残しています。</w:t>
      </w:r>
    </w:p>
    <w:p>
      <w:pPr>
        <w:keepLines/>
      </w:pPr>
      <w:r>
        <w:t>次の定理では、固定した有限次元のbridgeについて、一致性と漸近正規性を示します。分散には、最初にbridgeを推定した誤差も入れます。bridgeの次元を増やすsieveの理論まで示しているわけではない、という範囲も押さえておきます。</w:t>
      </w:r>
    </w:p>
    <w:p>
      <w:pPr>
        <w:spacing w:after="20"/>
      </w:pPr>
    </w:p>
    <w:p>
      <w:pPr>
        <w:pStyle w:val="Heading1"/>
      </w:pPr>
      <w:r>
        <w:t>Slide 13  New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14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15  Simulation targets in the model</w:t>
      </w:r>
    </w:p>
    <w:p>
      <w:pPr>
        <w:keepLines/>
      </w:pPr>
      <w:r>
        <w:t>ここからシミュレーションです。Xは固定し、Fは二つのクラスとします。図は、Z SからY S、Y SからR Sという流れです。FからZ Sへも矢印があります。FとZ Sは関連するので、ここを独立にしてはいけません。Wと三つのYは全て二値です。Y 1はいつも見えているので、ペアが全部見えるかどうかは、もう一方のD jで決まります。</w:t>
      </w:r>
    </w:p>
    <w:p>
      <w:pPr>
        <w:keepLines/>
      </w:pPr>
      <w:r>
        <w:t>生成するときは、FとWの後に、Zの組を先に、Yの組を後に作ります。AがFの下でのZの分布、BがFとZの下でのYの分布です。最後に、そのYを使ってD 2とD 3を独立に生成します。ここはBayes則で書き直しているだけなので、欠測指標まで含めた同時分布は変わりません。Zについて平均すると、元の測定核の積に戻ります。図はそのうち一つのblockを示しています。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16  Outcome and latent parameters</w:t>
      </w:r>
    </w:p>
    <w:p>
      <w:pPr>
        <w:keepLines/>
      </w:pPr>
      <w:r>
        <w:t>次に、何を評価するかです。第一段階のミューjは、母集団全体でY jが1になる確率です。p S,cは、ペアの00、01、10、11それぞれの確率です。Y 2とY 3、およびY 1とそれぞれを組にしたペアを見ます。</w:t>
      </w:r>
    </w:p>
    <w:p>
      <w:pPr>
        <w:keepLines/>
      </w:pPr>
      <w:r>
        <w:t>これに対して第二段階のp fはクラスの比率、M jfはクラスfで項目jが1になる確率を表します。M jfは三項目かける二クラスで六つ、クラス比率はp 2を評価します。Yの分布が戻ることと、その背後の潜在構造が分かることを、分けて見ていきます。</w:t>
      </w:r>
    </w:p>
    <w:p>
      <w:pPr>
        <w:spacing w:after="20"/>
      </w:pPr>
    </w:p>
    <w:p>
      <w:pPr>
        <w:pStyle w:val="Heading1"/>
      </w:pPr>
      <w:r>
        <w:t>Slide 17  MNAR benchmark: five estimators</w:t>
      </w:r>
    </w:p>
    <w:p>
      <w:pPr>
        <w:keepLines/>
      </w:pPr>
      <w:r>
        <w:t>ここからは、先ほどの従来モデルで既に実行したMNAR実験の、五つの推定法を比べます。図や表に残っているMARというラベルは、真の欠測機構の名前ではなく、欠測を無視できると仮定した通常の潜在クラスFIMLを指します。掲載数値は、このMNAR実験の結果です。通常のFIMLはZを使わず、提案法はZを使うので、同じ情報を使った効率比較ではない点にも注意します。</w:t>
      </w:r>
    </w:p>
    <w:p>
      <w:pPr>
        <w:keepLines/>
      </w:pPr>
      <w:r>
        <w:t>比較するのは五つです。一つ目は、欠測前の全データを使うoracleです。二つ目は、欠測を無視できると考えて観測尤度を使う、通常の潜在クラスFIMLです。図ではMARと表記していま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後で見る提案法の項目ごとの確率は、潜在分解をする前の第一段階の結果です。他の四手法は、当てはめたモデルからYの分布を求めています。</w:t>
      </w:r>
    </w:p>
    <w:p>
      <w:pPr>
        <w:spacing w:after="20"/>
      </w:pPr>
    </w:p>
    <w:p>
      <w:pPr>
        <w:pStyle w:val="Heading1"/>
      </w:pPr>
      <w:r>
        <w:t>Slide 18  Simulation evaluation criteria</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19  Population outcome recovery: bias and SD</w:t>
      </w:r>
    </w:p>
    <w:p>
      <w:pPr>
        <w:keepLines/>
      </w:pPr>
      <w:r>
        <w:t>ここで示すのは、MNAR実験の結果です。まず、潜在構造に分ける前に、Yの分布が戻っているかを見ます。このページでは、ミュー2とミュー3について、五つの手法のbiasとSDを比べます。</w:t>
      </w:r>
    </w:p>
    <w:p>
      <w:pPr>
        <w:keepLines/>
      </w:pPr>
      <w:r>
        <w:t>提案法は、MARと誤指定したselection likelihoodよりbiasの絶対値が小さくなっています。ミュー2とミュー3の真値は0.475と0.4925で、提案法のbiasはマイナス0.0099とマイナス0.0096です。SDはそれぞれ0.0379と0.0345でした。平均的なずれと、反復ごとのばらつきを分けて見ています。</w:t>
      </w:r>
    </w:p>
    <w:p>
      <w:pPr>
        <w:spacing w:after="20"/>
      </w:pPr>
    </w:p>
    <w:p>
      <w:pPr>
        <w:pStyle w:val="Heading1"/>
      </w:pPr>
      <w:r>
        <w:t>Slide 20  Population outcome recovery: SE and coverage</w:t>
      </w:r>
    </w:p>
    <w:p>
      <w:pPr>
        <w:keepLines/>
      </w:pPr>
      <w:r>
        <w:t>ここで示すのは、MNAR実験の結果です。続いて、不確実性をうまく測れているかを見ます。提案法の平均SEは、ミュー2で0.0365、ミュー3で0.0339です。前のページのSD、0.0379と0.0345に近く、実際の推定値のばらつきをおおむね捉えています。coverageは94パーセントと93パーセント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21  Stage-2 full joint law</w:t>
      </w:r>
    </w:p>
    <w:p>
      <w:pPr>
        <w:keepLines/>
      </w:pPr>
      <w:r>
        <w:t>ここで示すのは、MNAR実験の結果です。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22  Latent-parameter recovery</w:t>
      </w:r>
    </w:p>
    <w:p>
      <w:pPr>
        <w:keepLines/>
      </w:pPr>
      <w:r>
        <w:t>ここで示すのは、MNAR実験の結果です。こちらは、潜在構造まで分けた後の結果です。測定核では、提案法のbiasの絶対値とRMSEが、MARと誤指定したselection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23  Contribution &amp; Limitation &amp; Future Work</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効率の面でも、クラス比率のRMSEは、正しく指定したselection likelihoodより大きくなることがあります。常に一番精度が高い、と言っているわけではありません。</w:t>
      </w:r>
    </w:p>
    <w:p>
      <w:pPr>
        <w:keepLines/>
      </w:pPr>
      <w:r>
        <w:t>今後の課題は、有限次元のbridgeについて示した推測理論を、標本数とともに次元を増やすsieveへ広げることです。そのためには、収束速度や逆問題について追加の理論が必要です。</w:t>
      </w:r>
    </w:p>
    <w:p>
      <w:pPr>
        <w:spacing w:after="20"/>
      </w:pPr>
    </w:p>
    <w:p>
      <w:pPr>
        <w:pStyle w:val="Heading1"/>
      </w:pPr>
      <w:r>
        <w:t>Slide 24  Selected references</w:t>
      </w:r>
    </w:p>
    <w:p>
      <w:pPr>
        <w:keepLines/>
      </w:pPr>
      <w:r>
        <w:t>主に参照した文献を二枚に分けています。このページのAllman、Matias、Rhodesは潜在分解の一意性、d’HaultfoeuilleはMissing IVを使った分布の回復、Heckmanは選択バイアスの議論に対応します。</w:t>
      </w:r>
    </w:p>
    <w:p>
      <w:pPr>
        <w:spacing w:after="20"/>
      </w:pPr>
    </w:p>
    <w:p>
      <w:pPr>
        <w:pStyle w:val="Heading1"/>
      </w:pPr>
      <w:r>
        <w:t>Slide 25  Selected references (continued)</w:t>
      </w:r>
    </w:p>
    <w:p>
      <w:pPr>
        <w:keepLines/>
      </w:pPr>
      <w:r>
        <w:t>こちらは続きです。識別の言葉遣いはLewbel、欠測の分類はLittleとRubinを参照しています。Miaoらはshadow variableとcomplete-caseでのcompleteness、ZhaoとShaoは共変量を調整した除外制約と半パラメトリックな推定の背景です。</w:t>
      </w:r>
    </w:p>
    <w:p>
      <w:pPr>
        <w:spacing w:after="20"/>
      </w:pPr>
    </w:p>
    <w:p>
      <w:pPr>
        <w:pStyle w:val="Heading1"/>
      </w:pPr>
      <w:r>
        <w:t>Appendix Slide 26  Motivation and objective</w:t>
      </w:r>
    </w:p>
    <w:p>
      <w:pPr>
        <w:keepLines/>
      </w:pPr>
      <w:r>
        <w:t>ここで、なぜ二つの識別をつなぐ必要があるのかを見ます。Dはどの項目が見えたか、Wは潜在分布を動かす変数です。仮に、Y、F、Xを条件づけると、DとWは独立だとします。これが上の式です。</w:t>
      </w:r>
    </w:p>
    <w:p>
      <w:pPr>
        <w:keepLines/>
      </w:pPr>
      <w:r>
        <w:t>でもFは見えないので、平均して消す必要があります。すると下の式の赤い部分、Y、W、Xを見た後のFの分布が残ります。この分布はWによって変わりうるので、積分した後までDとWが独立とは言えません。つまり、latent shifterのWを、そのままMissing IVとしては使えないわけです。</w:t>
      </w:r>
    </w:p>
    <w:p>
      <w:pPr>
        <w:keepLines/>
      </w:pPr>
      <w:r>
        <w:t>下の二つの欄で役割を分けています。Z SはY Sと関連し、Y Sと共変量を押さえると欠測指標R Sとは独立になる変数です。これを使って、第一段階で欠測による偏りを補正します。一方、WはFの分布を動かし、第二段階で潜在構造を分けるための三つ目のviewを与えます。</w:t>
      </w:r>
    </w:p>
    <w:p>
      <w:pPr>
        <w:keepLines/>
      </w:pPr>
      <w:r>
        <w:t>逆に、Missing IVでYの分布だけを回復しても、Q Fと各Q jへの分解が一つに決まるとは限りません。そこで、Stage 1の分布の回復と、Stage 2の潜在分解を接続します。selection modelの関数形を決めず、有限潜在クラスの比率と測定核を同時に識別するのが目的です。もちろん、有限クラスの測定モデル、ランクや共通ラベルの条件は置きます。この目的に対して、次のページで具体的な識別戦略を示します。</w:t>
      </w:r>
    </w:p>
    <w:p>
      <w:pPr>
        <w:spacing w:after="20"/>
      </w:pPr>
    </w:p>
    <w:p>
      <w:pPr>
        <w:pStyle w:val="Heading1"/>
      </w:pPr>
      <w:r>
        <w:t>Appendix Slide 27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Appendix Slide 28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Appendix Slide 29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Appendix Slide 30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Appendix Slide 31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Appendix Slide 32  Lemma 2.1</w:t>
      </w:r>
    </w:p>
    <w:p>
      <w:pPr>
        <w:keepLines/>
      </w:pPr>
      <w:r>
        <w:t>まず、Missing IVをベクトルYへそのまま広げる方法を、補題2.1として整理します。全項目がそろった人をcomplete caseとし、各D jの積をRとします。UはXとW、P 1はcomplete caseの中でのYとUの分布です。</w:t>
      </w:r>
    </w:p>
    <w:p>
      <w:pPr>
        <w:keepLines/>
      </w:pPr>
      <w:r>
        <w:t>条件は、YとUを押さえたときのRとZの独立性、対象全体で正の観測確率、それからcomplete-caseでのcompletenessです。正確には、観測確率の逆数と候補の逆数を、P 1の下で二乗平均が有限な関数に限ります。この範囲で、式を満たすパイが一つに決まります。</w:t>
      </w:r>
    </w:p>
    <w:p>
      <w:pPr>
        <w:keepLines/>
      </w:pPr>
      <w:r>
        <w:t>これは既存のMissing IVの直接の多次元拡張です。ただし、全項目がそろう確率が、対象全体で正である必要があります。そこで次に、この条件を小さなblockごとに置き直します。</w:t>
      </w:r>
    </w:p>
    <w:p>
      <w:pPr>
        <w:spacing w:after="20"/>
      </w:pPr>
    </w:p>
    <w:p>
      <w:pPr>
        <w:pStyle w:val="Heading1"/>
      </w:pPr>
      <w:r>
        <w:t>Appendix Slide 33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Appendix Slide 34  Two marginal views of the model</w:t>
      </w:r>
    </w:p>
    <w:p>
      <w:pPr>
        <w:keepLines/>
      </w:pPr>
      <w:r>
        <w:t>同じモデルを、見る変数を変えて二つに分けた図です。左は、ZとDについて平均した測定モデルです。Fと項目の関係を見ています。U SからY Sへの矢印はXの効果だけで、Wは測定核には入りません。項目間の局所独立性は、仮定4の積の式で置いています。</w:t>
      </w:r>
    </w:p>
    <w:p>
      <w:pPr>
        <w:keepLines/>
      </w:pPr>
      <w:r>
        <w:t>右は、Fとblock外の項目について平均した図です。Z SからY S、Y SからR Sへ矢印を引いています。Y SとU Sが決まると、Z SとR Sが独立になる関係です。ここでいうfull-data lawは、回答者だけでなく、欠測した人も含む母集団の分布です。図にY Sがあっても、全員で見えているという意味ではありません。</w:t>
      </w:r>
    </w:p>
    <w:p>
      <w:pPr>
        <w:keepLines/>
      </w:pPr>
      <w:r>
        <w:t>左右を合体させて一つのDAGとして読むものではありません。特に、この図からFとZの追加の独立性を読み取ることはしません。</w:t>
      </w:r>
    </w:p>
    <w:p>
      <w:pPr>
        <w:spacing w:after="20"/>
      </w:pPr>
    </w:p>
    <w:p>
      <w:pPr>
        <w:pStyle w:val="Heading1"/>
      </w:pPr>
      <w:r>
        <w:t>Appendix Slide 35  Overlapping supported blocks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Appendix Slide 36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Appendix Slide 37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Appendix Slide 38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Appendix Slide 39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ここではXをxに固定します。式のp fがクラスの比率、GがクラスごとのWの分布、M jがクラスごとの測定核です。これらをまとめたものがシータで、ファイxは、シータからペアの確率を並べたテンソルTを作る対応です。同じ観測データの分布を作る値どうしは、Lewbelの言葉でobservationally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Appendix Slide 40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Appendix Slide 41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Appendix Slide 42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Appendix Slide 43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Appendix Slide 44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Appendix Slide 45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Appendix Slide 46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Appendix Slide 47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Appendix Slide 48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Appendix Slide 49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Appendix Slide 50  Proof sketch for Proposition 1</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keepLines/>
      </w:pPr>
      <w:r>
        <w:t>補題2.1も同じ証明です。全項目を一つのblockと見て、二つのbridgeの逆数の差を取り、complete-case completenessとpositivityで一意性を示します。最後にIPWで全体の分布を回復します。</w:t>
      </w:r>
    </w:p>
    <w:p>
      <w:pPr>
        <w:spacing w:after="20"/>
      </w:pPr>
    </w:p>
    <w:p>
      <w:pPr>
        <w:pStyle w:val="Heading1"/>
      </w:pPr>
      <w:r>
        <w:t>Appendix Slide 51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Appendix Slide 52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53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54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55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56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57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クラス1と2で、Wが1となる確率は0.20と0.80です。Y 1が1となる確率は0.15と0.80、Y 2は0.25と0.75、Y 3は0.20と0.85です。これらの測定核をクラスごとに掛け、クラス比率で平均すると、母集団の分布になります。</w:t>
      </w:r>
    </w:p>
    <w:p>
      <w:pPr>
        <w:spacing w:after="20"/>
      </w:pPr>
    </w:p>
    <w:p>
      <w:pPr>
        <w:pStyle w:val="Heading1"/>
      </w:pPr>
      <w:r>
        <w:t>Appendix Slide 58  selection and shadow calibration</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1の100パーセントと合わせて、三項目平均で80パーセントです。行列Hは、ペアの値とZ Sの関連を決めるためのものです。そこからBayes則でZを先に作る条件付き分布を計算します。Z Sは常に観測します。</w:t>
      </w:r>
    </w:p>
    <w:p>
      <w:pPr>
        <w:keepLines/>
      </w:pPr>
      <w:r>
        <w:t>今回掲載している100反復の結果は、同じ同時分布をY先行で生成したものです。Z先行の生成方法へ書き直しても、母集団の分布は変わりません。ただし、同じseedでも出てくる標本は変わるため、数値を完全に再現するための旧生成方法も残しています。生成順序を変えたことだけで、因果効果まで識別したという話ではありません。</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