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46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8–17</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18–24</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25–38</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39–46</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5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6  Motivation and objective</w:t>
      </w:r>
    </w:p>
    <w:p>
      <w:pPr>
        <w:keepLines/>
      </w:pPr>
      <w:r>
        <w:t>ここで、なぜ二つの識別をつなぐ必要があるのかを、本文の式5と6で見ます。Dはどの項目が見えたか、Wは潜在分布を動かす変数です。仮に、Y、F、Xを条件づけると、DとWは独立だとします。これが式5です。</w:t>
      </w:r>
    </w:p>
    <w:p>
      <w:pPr>
        <w:keepLines/>
      </w:pPr>
      <w:r>
        <w:t>でもFは見えないので、平均して消す必要があります。すると式6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右側で二つの役割を分けています。Z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Slide 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Slide 13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14  Two marginal views of the model</w:t>
      </w:r>
    </w:p>
    <w:p>
      <w:pPr>
        <w:keepLines/>
      </w:pPr>
      <w:r>
        <w:t>同じモデルを、見る変数を変えて二つに分けた図です。上は、ZとDについて平均した測定モデルです。Fと項目の関係を見ています。U SからY Sへの矢印はXの効果だけで、Wは測定核には入りません。項目間の局所独立性は、仮定4の積の式で置いています。</w:t>
      </w:r>
    </w:p>
    <w:p>
      <w:pPr>
        <w:keepLines/>
      </w:pPr>
      <w:r>
        <w:t>下は、Fとblock外の項目について平均した図です。Z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上下を合体させて一つのDAGとして読むものではありません。特に、この図からFとZの追加の独立性を読み取ることはしません。</w:t>
      </w:r>
    </w:p>
    <w:p>
      <w:pPr>
        <w:spacing w:after="20"/>
      </w:pPr>
    </w:p>
    <w:p>
      <w:pPr>
        <w:pStyle w:val="Heading1"/>
      </w:pPr>
      <w:r>
        <w:t>Slide 15  Overlapping supported blocks replace global complete cases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18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19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分けたいのは三つです。p fがクラスの比率、GがクラスごとのWの分布、M jがクラスごとの測定核です。同じ観測データの分布を作る値どうしは、Lewbelの言葉でobservationally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20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21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22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23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24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25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26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27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28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29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30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31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32  Simulation targets in the model</w:t>
      </w:r>
    </w:p>
    <w:p>
      <w:pPr>
        <w:keepLines/>
      </w:pPr>
      <w:r>
        <w:t>ここからシミュレーションです。Xは固定し、Fは二つのクラスとします。図の下は、Z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右側は、何を評価するかです。第一段階のミューjは、母集団全体でY jが1になる確率です。p S,cは、ペアの00、01、10、11それぞれの確率です。これに対して第二段階のp fはクラスの比率、M jfはクラスfで項目jが1になる確率を表します。M jfは三項目かける二クラスで六つ、クラス比率はp 2を評価します。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33  Simulation design: estimators and evaluation</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次の図で見る提案法のYの分布は、潜在分解をする前の第一段階の結果です。他の四手法は、当てはめたモデルからYの分布を求めています。</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34  Population outcome recovery</w:t>
      </w:r>
    </w:p>
    <w:p>
      <w:pPr>
        <w:keepLines/>
      </w:pPr>
      <w:r>
        <w:t>まず、潜在構造に分ける前に、Yの分布が戻っているかを見ます。横軸が五つの手法、青い実線がミュー2、オレンジの破線がミュー3です。上がbiasとSD、下が平均SEとcoverageです。</w:t>
      </w:r>
    </w:p>
    <w:p>
      <w:pPr>
        <w:keepLines/>
      </w:pPr>
      <w:r>
        <w:t>提案法は、MARと誤指定したselection likelihoodよりbiasの絶対値が小さくなっています。SDと平均SEも近く、coverageは94パーセントと93パーセントでした。この設定では、推定した標準誤差が、実際の推定値のばらつきをおおむね捉えています。</w:t>
      </w:r>
    </w:p>
    <w:p>
      <w:pPr>
        <w:keepLines/>
      </w:pPr>
      <w:r>
        <w:t>数字を補足すると、ミュー2とミュー3の真値は0.475と0.4925です。提案法のbiasはマイナス0.0099とマイナス0.0096です。SDと平均SEは、ミュー2で0.0379と0.0365、ミュー3で0.0345と0.0339でした。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35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36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37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38  Selected references</w:t>
      </w:r>
    </w:p>
    <w:p>
      <w:pPr>
        <w:keepLines/>
      </w:pPr>
      <w:r>
        <w:t>主に参照した文献はこちらです。第一段階はd’HaultfoeuilleとZhao、Shao、complete-caseでのcompletenessはMiaoらを参照しています。第二段階はAllman、Matias、Rhodesです。識別の言葉遣いはLewbel、欠測の分類はLittleとRubin、選択バイアスはHeckmanに沿っています。</w:t>
      </w:r>
    </w:p>
    <w:p>
      <w:pPr>
        <w:spacing w:after="20"/>
      </w:pPr>
    </w:p>
    <w:p>
      <w:pPr>
        <w:pStyle w:val="Heading1"/>
      </w:pPr>
      <w:r>
        <w:t>Appendix Slide 39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40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41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42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43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44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45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46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