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欠測IVと潜在変数モデリングによる非無作為欠測の識別</w:t>
      </w:r>
    </w:p>
    <w:p>
      <w:r>
        <w:rPr>
          <w:rFonts w:ascii="Arial" w:hAnsi="Arial" w:eastAsia="BIZ UDPGothic"/>
          <w:b/>
          <w:color w:val="000000"/>
          <w:sz w:val="24"/>
        </w:rPr>
        <w:t>英語Beamer対応 日本語発表原稿</w:t>
      </w:r>
    </w:p>
    <w:p>
      <w:r>
        <w:t>本原稿は、英語Beamer全38枚に対応する日本語の口頭説明用原稿である。本文の識別対象、仮定、定理、推定法、simulation設定と整合させ、証明は本編では論理の流れ、Appendixでは8ステップを説明する。</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8–15</w:t>
            </w:r>
          </w:p>
        </w:tc>
        <w:tc>
          <w:tcPr>
            <w:tcW w:type="dxa" w:w="7344"/>
          </w:tcPr>
          <w:p>
            <w:r>
              <w:rPr>
                <w:rFonts w:ascii="Arial" w:hAnsi="Arial" w:eastAsia="BIZ UDPGothic"/>
                <w:color w:val="000000"/>
                <w:sz w:val="21"/>
              </w:rPr>
              <w:t>モデルとsupported-block lawの回復</w:t>
            </w:r>
          </w:p>
        </w:tc>
      </w:tr>
      <w:tr>
        <w:tc>
          <w:tcPr>
            <w:tcW w:type="dxa" w:w="2232"/>
          </w:tcPr>
          <w:p>
            <w:r>
              <w:rPr>
                <w:rFonts w:ascii="Arial" w:hAnsi="Arial" w:eastAsia="BIZ UDPGothic"/>
                <w:color w:val="000000"/>
                <w:sz w:val="21"/>
              </w:rPr>
              <w:t>Slides 16–22</w:t>
            </w:r>
          </w:p>
        </w:tc>
        <w:tc>
          <w:tcPr>
            <w:tcW w:type="dxa" w:w="7344"/>
          </w:tcPr>
          <w:p>
            <w:r>
              <w:rPr>
                <w:rFonts w:ascii="Arial" w:hAnsi="Arial" w:eastAsia="BIZ UDPGothic"/>
                <w:color w:val="000000"/>
                <w:sz w:val="21"/>
              </w:rPr>
              <w:t>有限潜在クラスのtensor分解</w:t>
            </w:r>
          </w:p>
        </w:tc>
      </w:tr>
      <w:tr>
        <w:tc>
          <w:tcPr>
            <w:tcW w:type="dxa" w:w="2232"/>
          </w:tcPr>
          <w:p>
            <w:r>
              <w:rPr>
                <w:rFonts w:ascii="Arial" w:hAnsi="Arial" w:eastAsia="BIZ UDPGothic"/>
                <w:color w:val="000000"/>
                <w:sz w:val="21"/>
              </w:rPr>
              <w:t>Slides 23–33</w:t>
            </w:r>
          </w:p>
        </w:tc>
        <w:tc>
          <w:tcPr>
            <w:tcW w:type="dxa" w:w="7344"/>
          </w:tcPr>
          <w:p>
            <w:r>
              <w:rPr>
                <w:rFonts w:ascii="Arial" w:hAnsi="Arial" w:eastAsia="BIZ UDPGothic"/>
                <w:color w:val="000000"/>
                <w:sz w:val="21"/>
              </w:rPr>
              <w:t>推定、計算、DGP、simulation、full joint law、結論、参考文献</w:t>
            </w:r>
          </w:p>
        </w:tc>
      </w:tr>
      <w:tr>
        <w:tc>
          <w:tcPr>
            <w:tcW w:type="dxa" w:w="2232"/>
          </w:tcPr>
          <w:p>
            <w:r>
              <w:rPr>
                <w:rFonts w:ascii="Arial" w:hAnsi="Arial" w:eastAsia="BIZ UDPGothic"/>
                <w:color w:val="000000"/>
                <w:sz w:val="21"/>
              </w:rPr>
              <w:t>Appendix 34–38</w:t>
            </w:r>
          </w:p>
        </w:tc>
        <w:tc>
          <w:tcPr>
            <w:tcW w:type="dxa" w:w="7344"/>
          </w:tcPr>
          <w:p>
            <w:r>
              <w:rPr>
                <w:rFonts w:ascii="Arial" w:hAnsi="Arial" w:eastAsia="BIZ UDPGothic"/>
                <w:color w:val="000000"/>
                <w:sz w:val="21"/>
              </w:rPr>
              <w:t>定理1の8ステップ、empirical diagnostics</w:t>
            </w:r>
          </w:p>
        </w:tc>
      </w:tr>
    </w:tbl>
    <w:p>
      <w:r>
        <w:br w:type="page"/>
      </w:r>
    </w:p>
    <w:p>
      <w:pPr>
        <w:pStyle w:val="Heading1"/>
      </w:pPr>
      <w:r>
        <w:t>Slide 1  Title</w:t>
      </w:r>
    </w:p>
    <w:p>
      <w:pPr>
        <w:keepLines/>
      </w:pPr>
      <w:r>
        <w:t>本報告の題目は、欠測IVと潜在変数モデリングによる非無作為欠測の識別です。多次元の測定項目がmissing not at random、すなわちMNARで欠測する状況で、潜在分布と測定核をどのように識別するかを議論します。</w:t>
      </w:r>
    </w:p>
    <w:p>
      <w:pPr>
        <w:keepLines/>
      </w:pPr>
      <w:r>
        <w:t>中心となる考え方は二段階です。第一段階でMissing IVとsupported blockを用いて観測変数のblock lawを回復し、第二段階でanchor itemsとlatent shifterを用いて、その法則を有限潜在クラスへ一意に分解します。</w:t>
      </w:r>
    </w:p>
    <w:p>
      <w:pPr>
        <w:spacing w:after="20"/>
      </w:pPr>
    </w:p>
    <w:p>
      <w:pPr>
        <w:pStyle w:val="Heading1"/>
      </w:pPr>
      <w:r>
        <w:t>Slide 2  Missing-data mechanisms and standard approaches</w:t>
      </w:r>
    </w:p>
    <w:p>
      <w:pPr>
        <w:keepLines/>
      </w:pPr>
      <w:r>
        <w:t>まず欠測機構を整理します。Dをresponse pattern、Y obsとY misを観測部分と欠測部分とします。MCARではDはYに依存せず、MARでは観測値だけに依存します。MNARではDが欠測値そのものにも依存するため、通常の補完やrespondent-only analysisではsample-selection biasが生じ得ます。</w:t>
      </w:r>
    </w:p>
    <w:p>
      <w:pPr>
        <w:keepLines/>
      </w:pPr>
      <w:r>
        <w:t>本報告では、欠測のためのinstrumental variableを最初にMissing IVまたはshadow variableと呼び、以後はMissing IVに統一します。Missing IVによってfull-data lawを回復した後に、潜在構造を分解することが課題です。</w:t>
      </w:r>
    </w:p>
    <w:p>
      <w:pPr>
        <w:spacing w:after="20"/>
      </w:pPr>
    </w:p>
    <w:p>
      <w:pPr>
        <w:pStyle w:val="Heading1"/>
      </w:pPr>
      <w:r>
        <w:t>Slide 3  Usual IV and Missing IV</w:t>
      </w:r>
    </w:p>
    <w:p>
      <w:pPr>
        <w:keepLines/>
      </w:pPr>
      <w:r>
        <w:t>通常のIVとMissing IVは役割が異なります。通常のIVはoutcome equationから除外され、treatmentや内生変数を動かします。これに対してMissing IVのZは、欠測指標Rへの直接効果を持たず、欠測し得るYを予測します。</w:t>
      </w:r>
    </w:p>
    <w:p>
      <w:pPr>
        <w:keepLines/>
      </w:pPr>
      <w:r>
        <w:t>本稿の基本条件は、Yと共変量Uを条件づけるとRとZが独立になることです。Zのrelevanceと、このexclusion、さらにcompletenessを組み合わせて、観測確率を一意に回復します。</w:t>
      </w:r>
    </w:p>
    <w:p>
      <w:pPr>
        <w:spacing w:after="20"/>
      </w:pPr>
    </w:p>
    <w:p>
      <w:pPr>
        <w:pStyle w:val="Heading1"/>
      </w:pPr>
      <w:r>
        <w:t>Slide 4  Latent measurement model</w:t>
      </w:r>
    </w:p>
    <w:p>
      <w:pPr>
        <w:keepLines/>
      </w:pPr>
      <w:r>
        <w:t>Fを未観測の潜在変数、Y 1からY mをその測定項目、Xを通常共変量、Wを潜在分布を動かすlatent shifterとします。この構造はstructural equation modeling、SEMやitem response theory、IRTの基礎となる測定モデルです。</w:t>
      </w:r>
    </w:p>
    <w:p>
      <w:pPr>
        <w:keepLines/>
      </w:pPr>
      <w:r>
        <w:t>Q FはFの潜在分布、Q jは項目jの測定核です。局所独立性の下で、観測変数の分布はQ FとQ jの積をFについて周辺化したmixtureになります。完全データで三つのviewが十分なrankを持つ場合、Allman、Matias and Rhodesの結果により、有限class比率と測定核はlabelを除いて識別されます。</w:t>
      </w:r>
    </w:p>
    <w:p>
      <w:pPr>
        <w:keepLines/>
      </w:pPr>
      <w:r>
        <w:t>今回の識別定理が直接扱うのは有限潜在クラスです。連続因子のSEMやIRTへ拡張するには、測定族やcalibrationなどの追加条件が必要です。</w:t>
      </w:r>
    </w:p>
    <w:p>
      <w:pPr>
        <w:spacing w:after="20"/>
      </w:pPr>
    </w:p>
    <w:p>
      <w:pPr>
        <w:pStyle w:val="Heading1"/>
      </w:pPr>
      <w:r>
        <w:t>Slide 5  Related identification results</w:t>
      </w:r>
    </w:p>
    <w:p>
      <w:pPr>
        <w:keepLines/>
      </w:pPr>
      <w:r>
        <w:t>関連研究を三つに整理します。scalar Missing IVではd’Haultfoeuille、Zhao and Shao、Miaoらがcompletenessとconditional moment identificationを扱います。multivariate MNARではTangら、Sadinle and Reiter、Liら、Ni and Shaoがpattern restrictionやitemwise nonresponse modelを扱います。</w:t>
      </w:r>
    </w:p>
    <w:p>
      <w:pPr>
        <w:keepLines/>
      </w:pPr>
      <w:r>
        <w:t>latent structure側ではAllman、Matias and Rhodesのtensor uniquenessに加え、Muthénら、Holman and Glas、Lee and Tang、Harel and Schafer、Jungら、Kano and Takai、Kuhaらがlatent variableとnonignorable missingnessを同時に扱い、Xieらはdeep latent MNARを検討しています。latent-MNARのjoint model自体は既知です。</w:t>
      </w:r>
    </w:p>
    <w:p>
      <w:pPr>
        <w:keepLines/>
      </w:pPr>
      <w:r>
        <w:t>本稿の新規性はlatent-MNAR自体ではありません。parametric selection modelを置かないsupported-block lawの回復と、共通label下でのlatent decompositionを接続し、一つの識別定理として示す点です。</w:t>
      </w:r>
    </w:p>
    <w:p>
      <w:pPr>
        <w:spacing w:after="20"/>
      </w:pPr>
    </w:p>
    <w:p>
      <w:pPr>
        <w:pStyle w:val="Heading1"/>
      </w:pPr>
      <w:r>
        <w:t>Slide 6  Proposed two-stage identification</w:t>
      </w:r>
    </w:p>
    <w:p>
      <w:pPr>
        <w:keepLines/>
      </w:pPr>
      <w:r>
        <w:t>本稿の方法を先に概観します。第一に、Zhao and Shaoの除外制約とd’Haultfoeuilleのconditional moment equationを各supported blockへ適用し、parametric selection modelを置かずにblock lawを回復します。</w:t>
      </w:r>
    </w:p>
    <w:p>
      <w:pPr>
        <w:keepLines/>
      </w:pPr>
      <w:r>
        <w:t>第二に、回復したoverlapping block lawsをanchor itemsとlatent shifterで接続し、Allman、Matias and Rhodesのtensor uniquenessとextension inversionを用いて共通label下の潜在分布と測定核へ分解します。本稿の新規性は、この二段階を一つの識別定理として接続する点です。</w:t>
      </w:r>
    </w:p>
    <w:p>
      <w:pPr>
        <w:spacing w:after="20"/>
      </w:pPr>
    </w:p>
    <w:p>
      <w:pPr>
        <w:pStyle w:val="Heading1"/>
      </w:pPr>
      <w:r>
        <w:t>Slide 7  Model and assumptions</w:t>
      </w:r>
    </w:p>
    <w:p>
      <w:pPr>
        <w:keepLines/>
      </w:pPr>
      <w:r>
        <w:t>第一段階では、Missing IV、positivity、complete-case completenessを用いて、観測データから各supported-block lawを回復します。この段階ではlatent mixtureの分解は行いません。</w:t>
      </w:r>
    </w:p>
    <w:p>
      <w:pPr>
        <w:spacing w:after="20"/>
      </w:pPr>
    </w:p>
    <w:p>
      <w:pPr>
        <w:pStyle w:val="Heading1"/>
      </w:pPr>
      <w:r>
        <w:t>Slide 8  A latent shifter is not a Missing IV</w:t>
      </w:r>
    </w:p>
    <w:p>
      <w:pPr>
        <w:keepLines/>
      </w:pPr>
      <w:r>
        <w:t>latent shifter WとMissing IV Z Sは区別します。仮にFまで条件づければDとWが独立であっても、Fを積分するとDの条件付き分布にはP of F given Y, W, Xが残ります。WがFの分布を動かすなら、この分布は一般にWへ依存します。</w:t>
      </w:r>
    </w:p>
    <w:p>
      <w:pPr>
        <w:keepLines/>
      </w:pPr>
      <w:r>
        <w:t>したがって、Wは周辺化後のMissing IVにはなりません。Z Sはblock lawをMNAR selectionから回復し、Wは回復後のtensorにthird-mode variationを与えます。block lawを回復しただけではQ FとQ Yは分離されないため、この二つの役割を接続する必要があります。</w:t>
      </w:r>
    </w:p>
    <w:p>
      <w:pPr>
        <w:spacing w:after="20"/>
      </w:pPr>
    </w:p>
    <w:p>
      <w:pPr>
        <w:pStyle w:val="Heading1"/>
      </w:pPr>
      <w:r>
        <w:t>Slide 9  A simple multivariate extension</w:t>
      </w:r>
    </w:p>
    <w:p>
      <w:pPr>
        <w:keepLines/>
      </w:pPr>
      <w:r>
        <w:t>単純な多変量拡張では、D jを各項目Y jの観測指標とし、全項目が同時に観測されたcomplete-case indicatorをRと置きます。Rが正の確率を持ち、vector Y全体に対するMissing IV条件とcompletenessが成立すれば、full-data lawを識別できます。</w:t>
      </w:r>
    </w:p>
    <w:p>
      <w:pPr>
        <w:keepLines/>
      </w:pPr>
      <w:r>
        <w:t>ただし、この方法は全項目を同時に観測するglobal complete caseを必要とします。項目数が多い場合にはこの確率が極端に小さくなり得るため、本稿では後でsupported blocksへ置き換えます。</w:t>
      </w:r>
    </w:p>
    <w:p>
      <w:pPr>
        <w:spacing w:after="20"/>
      </w:pPr>
    </w:p>
    <w:p>
      <w:pPr>
        <w:pStyle w:val="Heading1"/>
      </w:pPr>
      <w:r>
        <w:t>Slide 10  Observed data and supported blocks</w:t>
      </w:r>
    </w:p>
    <w:p>
      <w:pPr>
        <w:keepLines/>
      </w:pPr>
      <w:r>
        <w:t>D jをY jの観測指標とし、Oを観測変数の集合とします。Oは常時観測されるX、W、Z、Dと、Dによって選択されたYの成分Y Dから構成されます。R Sは集合Sの全項目が観測されたことを示すblock indicatorです。R SがゼロならY Sは欠測であり、観測データには値を持つ変数として現れません。</w:t>
      </w:r>
    </w:p>
    <w:p>
      <w:pPr>
        <w:keepLines/>
      </w:pPr>
      <w:r>
        <w:t>supported blockとは、対象support上でR Sが1となる条件付き確率pi Sが正のblockです。必要なのはanchor pairとextension pairsがsupportedであることであり、global complete caseではありません。</w:t>
      </w:r>
    </w:p>
    <w:p>
      <w:pPr>
        <w:spacing w:after="20"/>
      </w:pPr>
    </w:p>
    <w:p>
      <w:pPr>
        <w:pStyle w:val="Heading1"/>
      </w:pPr>
      <w:r>
        <w:t>Slide 11  Single-block data-generating structure</w:t>
      </w:r>
    </w:p>
    <w:p>
      <w:pPr>
        <w:keepLines/>
      </w:pPr>
      <w:r>
        <w:t>図は一つのsupported blockの構造です。U SはXとWの組であり、F、Z S、Y Sと関連します。Z SはFを通じてY Sを予測しますが、Y SとU Sを条件づけた後にはR Sへ直接影響しません。そのためZ SからR Sへの直接辺は置きません。</w:t>
      </w:r>
    </w:p>
    <w:p>
      <w:pPr>
        <w:keepLines/>
      </w:pPr>
      <w:r>
        <w:t>一方、R Sは欠測し得るY Sに依存してよく、MNARを許容します。ここでのDAGは、本稿が用いる条件付き独立性と分布の関係を整理したものです。</w:t>
      </w:r>
    </w:p>
    <w:p>
      <w:pPr>
        <w:spacing w:after="20"/>
      </w:pPr>
    </w:p>
    <w:p>
      <w:pPr>
        <w:pStyle w:val="Heading1"/>
      </w:pPr>
      <w:r>
        <w:t>Slide 12  Overlapping supported blocks replace global complete cases</w:t>
      </w:r>
    </w:p>
    <w:p>
      <w:pPr>
        <w:keepLines/>
      </w:pPr>
      <w:r>
        <w:t>global complete caseの代わりに、重なりを持つsupported pairsを用います。S 0はanchor itemsのY aとY bを含み、各nonanchor item Y jには、Y jと共通anchor Y aからなるextension pairを用意します。</w:t>
      </w:r>
    </w:p>
    <w:p>
      <w:pPr>
        <w:keepLines/>
      </w:pPr>
      <w:r>
        <w:t>各pairに固有のMissing IV Z Sとbridgeを置き、第一段階でpair lawを回復します。第二段階では共有されたanchorを通じて、block間のmeasurement kernelとclass labelを接続します。</w:t>
      </w:r>
    </w:p>
    <w:p>
      <w:pPr>
        <w:spacing w:after="20"/>
      </w:pPr>
    </w:p>
    <w:p>
      <w:pPr>
        <w:pStyle w:val="Heading1"/>
      </w:pPr>
      <w:r>
        <w:t>Slide 13  Stage-1 assumptions</w:t>
      </w:r>
    </w:p>
    <w:p>
      <w:pPr>
        <w:keepLines/>
      </w:pPr>
      <w:r>
        <w:t>仮定6はblockwise covariate-adjusted Missing IVです。各supported blockについて、Y SとU Sを条件づけるとR SとZ Sが独立であるとします。</w:t>
      </w:r>
    </w:p>
    <w:p>
      <w:pPr>
        <w:keepLines/>
      </w:pPr>
      <w:r>
        <w:t>仮定7はcomplete-case completenessです。R Sが1である標本において、Z SとU Sで条件づけたhの期待値がゼロなら、h自体がほとんど確実にゼロであるとします。これは観測可能なcomplete-case conditional operatorの単射性です。positivityはcomplete-case lawとfull lawの零集合を対応させます。</w:t>
      </w:r>
    </w:p>
    <w:p>
      <w:pPr>
        <w:spacing w:after="20"/>
      </w:pPr>
    </w:p>
    <w:p>
      <w:pPr>
        <w:pStyle w:val="Heading1"/>
      </w:pPr>
      <w:r>
        <w:t>Slide 14  New Proposition 1</w:t>
      </w:r>
    </w:p>
    <w:p>
      <w:pPr>
        <w:keepLines/>
      </w:pPr>
      <w:r>
        <w:t>新しい命題1は、本文の命題2.1に対応するsupported-block identificationです。真のpi Sの逆数がcomplete-case lawの下で二乗可積分であると仮定します。その上で、observable bridge momentを満たし、逆数が同じL2空間に属する正値関数のうち、pi Sが唯一の解になります。存在は真のpropensityから与えられ、命題の中心はこのbridge class内の一意性です。</w:t>
      </w:r>
    </w:p>
    <w:p>
      <w:pPr>
        <w:keepLines/>
      </w:pPr>
      <w:r>
        <w:t>pi Sが識別されると、R S divided by pi Sによるinverse probability weightingで任意のblock関数のfull-data expectationを再現できます。したがって各block lawが、parametric selection modelを指定せずに識別されます。</w:t>
      </w:r>
    </w:p>
    <w:p>
      <w:pPr>
        <w:spacing w:after="20"/>
      </w:pPr>
    </w:p>
    <w:p>
      <w:pPr>
        <w:pStyle w:val="Heading1"/>
      </w:pPr>
      <w:r>
        <w:t>Slide 15  Proof sketch the observable bridge is unique</w:t>
      </w:r>
    </w:p>
    <w:p>
      <w:pPr>
        <w:keepLines/>
      </w:pPr>
      <w:r>
        <w:t>証明では仮定の役割を分けます。観測過程、supported blockの定義、Missing IV exclusionから、真のpi Sがbridge momentを満たすことを示します。別の解との差を取ると、complete cases上の条件付き期待値がゼロになります。</w:t>
      </w:r>
    </w:p>
    <w:p>
      <w:pPr>
        <w:keepLines/>
      </w:pPr>
      <w:r>
        <w:t>complete-case completenessがその差をゼロにし、positivityが等式を対象support全体へ拡張します。最後にinverse weighting identityからblock lawの識別が従います。</w:t>
      </w:r>
    </w:p>
    <w:p>
      <w:pPr>
        <w:spacing w:after="20"/>
      </w:pPr>
    </w:p>
    <w:p>
      <w:pPr>
        <w:pStyle w:val="Heading1"/>
      </w:pPr>
      <w:r>
        <w:t>Slide 16  Finite latent-class identification</w:t>
      </w:r>
    </w:p>
    <w:p>
      <w:pPr>
        <w:keepLines/>
      </w:pPr>
      <w:r>
        <w:t>第二段階では、第一段階で回復したblock lawsを有限潜在クラスへ分解します。anchor itemsとlatent shifterを用いてKruskal型の一意性を得ることが目的です。</w:t>
      </w:r>
    </w:p>
    <w:p>
      <w:pPr>
        <w:spacing w:after="20"/>
      </w:pPr>
    </w:p>
    <w:p>
      <w:pPr>
        <w:pStyle w:val="Heading1"/>
      </w:pPr>
      <w:r>
        <w:t>Slide 17  The remaining decomposition problem</w:t>
      </w:r>
    </w:p>
    <w:p>
      <w:pPr>
        <w:keepLines/>
      </w:pPr>
      <w:r>
        <w:t>第一段階の後には、必要なY S、W、Xのfull pair lawsが識別されています。しかし潜在変数Fは未観測であり、同じpair lawを生成するp f、G、M jが複数存在する可能性があります。</w:t>
      </w:r>
    </w:p>
    <w:p>
      <w:pPr>
        <w:keepLines/>
      </w:pPr>
      <w:r>
        <w:t>ここでp fはclass比率、Gはclass別のWの分布、M jはclass別の測定核です。Lewbelの用語では、同じobserved-data lawを生成する二つの値はobservationally equivalentです。anchor orderingを課さないとclass permutationを除く同値類が識別され、orderingを課すと正規化されたparameter space上でpoint identificationを得ます。</w:t>
      </w:r>
    </w:p>
    <w:p>
      <w:pPr>
        <w:spacing w:after="20"/>
      </w:pPr>
    </w:p>
    <w:p>
      <w:pPr>
        <w:pStyle w:val="Heading1"/>
      </w:pPr>
      <w:r>
        <w:t>Slide 18  Identification strategy</w:t>
      </w:r>
    </w:p>
    <w:p>
      <w:pPr>
        <w:keepLines/>
      </w:pPr>
      <w:r>
        <w:t>識別戦略は四段階です。まずsupported-block lawsを回復し、次にanchor tensorとextension tensorsを構成します。anchor tensorを一意に分解してp、G、M a、M bを得た後、class weightsを回復し、各extension tensorを線形反転して全M jを得ます。</w:t>
      </w:r>
    </w:p>
    <w:p>
      <w:pPr>
        <w:keepLines/>
      </w:pPr>
      <w:r>
        <w:t>つまり第二段階は、回復済みblock lawsをanchor decompositionとextension inversionで潜在分布と測定核へ分ける操作です。</w:t>
      </w:r>
    </w:p>
    <w:p>
      <w:pPr>
        <w:spacing w:after="20"/>
      </w:pPr>
    </w:p>
    <w:p>
      <w:pPr>
        <w:pStyle w:val="Heading1"/>
      </w:pPr>
      <w:r>
        <w:t>Slide 19  Assumption 3.1</w:t>
      </w:r>
    </w:p>
    <w:p>
      <w:pPr>
        <w:keepLines/>
      </w:pPr>
      <w:r>
        <w:t>仮定3.1はcovariate-assisted anchor-pair structureです。class数rは既知です。anchor decompositionには、anchor pairのsupportedness、正のclass比率とWの周辺確率、M a、M b、GのKruskal rank条件を用います。これはAllman、Matias and Rhodesのthree-view conditionと同じです。</w:t>
      </w:r>
    </w:p>
    <w:p>
      <w:pPr>
        <w:keepLines/>
      </w:pPr>
      <w:r>
        <w:t>既知のanchor scoreの厳密順序で共通labelを固定します。extension propagationでは全extension pairsがsupportedであることと、補題3.1からG Khatri–Rao M aがfull column rankになることを用います。</w:t>
      </w:r>
    </w:p>
    <w:p>
      <w:pPr>
        <w:spacing w:after="20"/>
      </w:pPr>
    </w:p>
    <w:p>
      <w:pPr>
        <w:pStyle w:val="Heading1"/>
      </w:pPr>
      <w:r>
        <w:t>Slide 20  Lemma 3.1</w:t>
      </w:r>
    </w:p>
    <w:p>
      <w:pPr>
        <w:keepLines/>
      </w:pPr>
      <w:r>
        <w:t>補題3.1はKhatri–Rao積のrank条件です。AとBのcolumn Kruskal rankの和がrプラス1以上なら、B Khatri–Rao Aはfull column rankになります。</w:t>
      </w:r>
    </w:p>
    <w:p>
      <w:pPr>
        <w:keepLines/>
      </w:pPr>
      <w:r>
        <w:t>この補題により、anchor tensorのKruskal条件を、各extension itemを線形反転するためのrank条件へ変換できます。</w:t>
      </w:r>
    </w:p>
    <w:p>
      <w:pPr>
        <w:spacing w:after="20"/>
      </w:pPr>
    </w:p>
    <w:p>
      <w:pPr>
        <w:pStyle w:val="Heading1"/>
      </w:pPr>
      <w:r>
        <w:t>Slide 21  New Theorem 1</w:t>
      </w:r>
    </w:p>
    <w:p>
      <w:pPr>
        <w:keepLines/>
      </w:pPr>
      <w:r>
        <w:t>新しい定理1は、本文の定理3.1に対応するanchor-pair identificationです。第一段階の仮定と仮定3.1の下で、観測データ法則からp、G、Wごとの潜在class分布Q F、全項目の測定核Q Yが固定された共通labelの下で識別されます。</w:t>
      </w:r>
    </w:p>
    <w:p>
      <w:pPr>
        <w:keepLines/>
      </w:pPr>
      <w:r>
        <w:t>要するに、pair lawsを回復し、一つのanchor tensorを分解すれば、latent-class distributionと全measurement kernelsが得られます。その結果、同時観測されたことのない項目集合についてもjoint lawを構成できます。</w:t>
      </w:r>
    </w:p>
    <w:p>
      <w:pPr>
        <w:spacing w:after="20"/>
      </w:pPr>
    </w:p>
    <w:p>
      <w:pPr>
        <w:pStyle w:val="Heading1"/>
      </w:pPr>
      <w:r>
        <w:t>Slide 22  Proof map for Theorem 1</w:t>
      </w:r>
    </w:p>
    <w:p>
      <w:pPr>
        <w:keepLines/>
      </w:pPr>
      <w:r>
        <w:t>証明の流れを一枚で示します。observed-data lawから命題1でanchor tensorとextension tensorsを回復し、Allman型の一意性からM a、M b、p、Gを共通labelの下で得ます。</w:t>
      </w:r>
    </w:p>
    <w:p>
      <w:pPr>
        <w:keepLines/>
      </w:pPr>
      <w:r>
        <w:t>次に補題3.1でextension inversionのrankを確保します。pとGにはBayes則を適用してWごとのlatent distributionを得た後、各extension tensorを反転して全M jを回復します。詳細な8ステップはAppendixに置いています。</w:t>
      </w:r>
    </w:p>
    <w:p>
      <w:pPr>
        <w:spacing w:after="20"/>
      </w:pPr>
    </w:p>
    <w:p>
      <w:pPr>
        <w:pStyle w:val="Heading1"/>
      </w:pPr>
      <w:r>
        <w:t>Slide 23  Bridge-weighted composite estimation</w:t>
      </w:r>
    </w:p>
    <w:p>
      <w:pPr>
        <w:keepLines/>
      </w:pPr>
      <w:r>
        <w:t>推定も識別と同じ順序です。第一段階はd’HaultfoeuilleのSection 3に従い、各blockでconditional moment equationを解いてpair lawをIPWで回復します。第二段階はZhao and Shaoのplug-inの順序に従い、共通のlatent mixtureをoverlapping pair lawsへ当てはめます。</w:t>
      </w:r>
    </w:p>
    <w:p>
      <w:pPr>
        <w:keepLines/>
      </w:pPr>
      <w:r>
        <w:t>提案量はfull likelihoodではなくbridge-weighted composite M-estimatorです。一致性と漸近正規性の定理は有限次元bridgeを対象とし、sandwich varianceにはfirst-stage bridgeの推定誤差も含めます。dimensionが増えるsieve bridgeには別途inverse-problem theoryが必要です。</w:t>
      </w:r>
    </w:p>
    <w:p>
      <w:pPr>
        <w:spacing w:after="20"/>
      </w:pPr>
    </w:p>
    <w:p>
      <w:pPr>
        <w:pStyle w:val="Heading1"/>
      </w:pPr>
      <w:r>
        <w:t>Slide 24  Computation</w:t>
      </w:r>
    </w:p>
    <w:p>
      <w:pPr>
        <w:keepLines/>
      </w:pPr>
      <w:r>
        <w:t>Zhao and ShaoのSection 2.3は、nuisance lawを先に推定してtarget modelへplug-inする順序の先例です。本稿の更新アルゴリズムそのものの先例ではありません。本稿のcriterionは非凸なlatent mixtureを含むため、tensor initialization、複数初期値、制約付き更新を組み合わせます。</w:t>
      </w:r>
    </w:p>
    <w:p>
      <w:pPr>
        <w:keepLines/>
      </w:pPr>
      <w:r>
        <w:t>具体的にはbridgeを推定してweighted tensorsを作り、anchor tensorを分解してlabelを正規化し、extension kernelsを初期化します。その後、確率単体制約の下で全パラメータを更新し、最大criterionの解を採用します。</w:t>
      </w:r>
    </w:p>
    <w:p>
      <w:pPr>
        <w:spacing w:after="20"/>
      </w:pPr>
    </w:p>
    <w:p>
      <w:pPr>
        <w:pStyle w:val="Heading1"/>
      </w:pPr>
      <w:r>
        <w:t>Slide 25  Simulation design: DGP and parameters</w:t>
      </w:r>
    </w:p>
    <w:p>
      <w:pPr>
        <w:keepLines/>
      </w:pPr>
      <w:r>
        <w:t>図は先ほどのlatent measurement modelを今回のDGPに合わせたものです。Xを固定し、まず二つのclassを持つFを生成します。FからWと三つの測定項目Y 1、Y 2、Y 3を条件付き独立に生成します。各pair Y 1、Y jから常時観測されるMissing IVのZ Sと観測指標D jを生成します。Y 1は常時観測されるので、pairの観測指標R SはD jに一致します。</w:t>
      </w:r>
    </w:p>
    <w:p>
      <w:pPr>
        <w:keepLines/>
      </w:pPr>
      <w:r>
        <w:t>母数の位置も図に対応させます。Fの周辺分布がp f、FからY jへの測定核がM jf、FからWへの核がG fです。Stage 1の評価対象mu jはY jの母集団周辺確率、p S,cはpairのcell probabilityです。これらは潜在classを周辺化した量であり、Stage 2で分離するp fやM jfとは区別します。</w:t>
      </w:r>
    </w:p>
    <w:p>
      <w:pPr>
        <w:spacing w:after="20"/>
      </w:pPr>
    </w:p>
    <w:p>
      <w:pPr>
        <w:pStyle w:val="Heading1"/>
      </w:pPr>
      <w:r>
        <w:t>Slide 26  Simulation design: calibration and five estimators</w:t>
      </w:r>
    </w:p>
    <w:p>
      <w:pPr>
        <w:keepLines/>
      </w:pPr>
      <w:r>
        <w:t>Allman、Matias and Rhodesの有限product mixtureを用い、表の数値は本研究で設定しています。class比率は0.55と0.45、測定核は項目とclassごとに表の通りです。標本サイズは500、Monte Carlo反復は100回です。Y 1は常時観測され、Y 2とY 3の観測確率はそれぞれ平均70 percentとなるように切片を調整するため、全三項目の平均観測率は80 percentです。</w:t>
      </w:r>
    </w:p>
    <w:p>
      <w:pPr>
        <w:keepLines/>
      </w:pPr>
      <w:r>
        <w:t>五手法を比較します。complete-data oracleは欠測前の尤度、MARはignorabilityの下での観測尤度、正指定selection likelihoodは真のlogistic selection equationを用います。誤指定版ではY 1の主効果とinteractionを除きます。提案法は各blockのMissing IV momentから4-cell inverse bridgeを推定し、Stage 1の法則を得た後、weighted pairwise latent-class criterionを用いて潜在構造を推定します。</w:t>
      </w:r>
    </w:p>
    <w:p>
      <w:pPr>
        <w:spacing w:after="20"/>
      </w:pPr>
    </w:p>
    <w:p>
      <w:pPr>
        <w:pStyle w:val="Heading1"/>
      </w:pPr>
      <w:r>
        <w:t>Slide 27  Observed-law inference</w:t>
      </w:r>
    </w:p>
    <w:p>
      <w:pPr>
        <w:keepLines/>
      </w:pPr>
      <w:r>
        <w:t>Stage 1の直接の識別対象は、欠測し得る各outcomeの母集団周辺確率mu jと、各supported pairの4-cell確率p S,cです。Y 1は常時観測されるため、欠測outcomeの回復図ではY 2とY 3を示します。提案法では、latent decompositionを行う前に、各blockの推定bridgeによるnormalized inverse probability weightingからこれらを直接推定します。</w:t>
      </w:r>
    </w:p>
    <w:p>
      <w:pPr>
        <w:keepLines/>
      </w:pPr>
      <w:r>
        <w:t>各parameterについてbias、replication間のempirical SD、平均estimated SE、pointwise 95 percent Wald coverageを報告します。likelihoodを用いる4比較法ではrobust sandwichとdelta method、提案bridgeでは個人単位bootstrapを200回行い、各resampleでbridgeを再推定します。4比較法のoutcome lawsは各fitから導くmodel-implied quantitiesであり、直接のStage-1 estimatorと呼ぶのは提案法だけです。</w:t>
      </w:r>
    </w:p>
    <w:p>
      <w:pPr>
        <w:spacing w:after="20"/>
      </w:pPr>
    </w:p>
    <w:p>
      <w:pPr>
        <w:pStyle w:val="Heading1"/>
      </w:pPr>
      <w:r>
        <w:t>Slide 28  Evaluation targets: latent structure</w:t>
      </w:r>
    </w:p>
    <w:p>
      <w:pPr>
        <w:keepLines/>
      </w:pPr>
      <w:r>
        <w:t>新しい評価対象の一つ目はmeasurement kernel M jです。二値項目ではM j of 1, fは、latent classがfのときに項目jが1となる確率です。これは項目とlatent classの測定関係を表し、全てのitem-by-class cellsにわたる平均biasと平均RMSEを報告します。</w:t>
      </w:r>
    </w:p>
    <w:p>
      <w:pPr>
        <w:keepLines/>
      </w:pPr>
      <w:r>
        <w:t>二つ目はlatent class proportion p f、つまり母集団におけるclass fの比率です。本文の結果表に合わせてp 2を評価し、p 1は1 minus p 2で決まります。Biasは系統誤差を、RMSEはbiasとreplication variabilityを合わせた有限標本誤差を表します。</w:t>
      </w:r>
    </w:p>
    <w:p>
      <w:pPr>
        <w:spacing w:after="20"/>
      </w:pPr>
    </w:p>
    <w:p>
      <w:pPr>
        <w:pStyle w:val="Heading1"/>
      </w:pPr>
      <w:r>
        <w:t>Slide 29  Population outcome recovery</w:t>
      </w:r>
    </w:p>
    <w:p>
      <w:pPr>
        <w:keepLines/>
      </w:pPr>
      <w:r>
        <w:t>横軸を五手法、青い実線とオレンジの破線をmu 2、mu 3とした折れ線グラフです。上段はbiasとempirical SD、下段はmean estimated SEと95 percent coverageを示します。</w:t>
      </w:r>
    </w:p>
    <w:p>
      <w:pPr>
        <w:keepLines/>
      </w:pPr>
      <w:r>
        <w:t>母集団周辺確率の真値はmu 2 equals 0.475、mu 3 equals 0.4925です。提案Stage-1 bridgeのbiasはそれぞれマイナス0.0099、マイナス0.0096で、empirical SDと平均estimated SEは0.0379対0.0365、0.0345対0.0339でした。95 percent coverageは94 percentと93 percentで、推定SEがreplication variabilityを概ね捉えています。</w:t>
      </w:r>
    </w:p>
    <w:p>
      <w:pPr>
        <w:keepLines/>
      </w:pPr>
      <w:r>
        <w:t>これに対してMARのcoverageは9 percentと13 percent、誤指定selection likelihoodでは12 percentと11 percentでした。正しく指定したselection likelihoodはbiasがほぼゼロですが、coverageはY 2で86 percentです。本結果は提案法の効率優位を示すものではなく、parametric selection linkを指定せずに、欠測outcomeの周辺分布をStage 1で補正できることを示します。</w:t>
      </w:r>
    </w:p>
    <w:p>
      <w:pPr>
        <w:spacing w:after="20"/>
      </w:pPr>
    </w:p>
    <w:p>
      <w:pPr>
        <w:pStyle w:val="Heading1"/>
      </w:pPr>
      <w:r>
        <w:t>Slide 30  Stage-2 full joint law</w:t>
      </w:r>
    </w:p>
    <w:p>
      <w:pPr>
        <w:keepLines/>
      </w:pPr>
      <w:r>
        <w:t>続いて、Y 1、Y 2、Y 3のfull joint lawを全体像として示します。横軸は三つのbinary outcomesの8通りの組合せ、縦軸は各cellの確率です。黒い線が母集団の真の分布、そのほかの線は各手法で推定した分布を100反復で平均したものです。</w:t>
      </w:r>
    </w:p>
    <w:p>
      <w:pPr>
        <w:keepLines/>
      </w:pPr>
      <w:r>
        <w:t>青い提案法の線は、Stage 1で回復したoverlapping block lawsをStage 2で共通の潜在構造に接続し、class比率と全measurement kernelsから構成した分布です。周辺確率だけでなく、全項目の組合せとして真の分布をどのように再現しているかを見ます。</w:t>
      </w:r>
    </w:p>
    <w:p>
      <w:pPr>
        <w:spacing w:after="20"/>
      </w:pPr>
    </w:p>
    <w:p>
      <w:pPr>
        <w:pStyle w:val="Heading1"/>
      </w:pPr>
      <w:r>
        <w:t>Slide 31  Latent-parameter recovery</w:t>
      </w:r>
    </w:p>
    <w:p>
      <w:pPr>
        <w:keepLines/>
      </w:pPr>
      <w:r>
        <w:t>measurement kernelsについて、提案法はMARと誤指定selection likelihoodよりabsolute biasとRMSEが小さく、測定関係をより正確に回復しています。これは、selection equationを直接指定せず、Missing IVからblock lawsを回復しているためと考えられます。</w:t>
      </w:r>
    </w:p>
    <w:p>
      <w:pPr>
        <w:keepLines/>
      </w:pPr>
      <w:r>
        <w:t>latent class proportionsについても提案法のbiasはほぼゼロですが、RMSEが全比較で常に最小になるわけではありません。正しく指定されたparametric selection likelihoodは効率面で競争的であり、提案法の利点は誤指定回避と引き換えの頑健性にあります。</w:t>
      </w:r>
    </w:p>
    <w:p>
      <w:pPr>
        <w:spacing w:after="20"/>
      </w:pPr>
    </w:p>
    <w:p>
      <w:pPr>
        <w:pStyle w:val="Heading1"/>
      </w:pPr>
      <w:r>
        <w:t>Slide 32  Conclusion and limits</w:t>
      </w:r>
    </w:p>
    <w:p>
      <w:pPr>
        <w:keepLines/>
      </w:pPr>
      <w:r>
        <w:t>第一段階ではMissing IVとcomplete-case completenessにより、parametric selection modelを置かずに各supported-block lawを識別します。第二段階ではanchor itemsとWにより、有限latent-class proportionsと全measurement kernelsを共通labelの下で識別します。推定量もこの順序に沿います。</w:t>
      </w:r>
    </w:p>
    <w:p>
      <w:pPr>
        <w:keepLines/>
      </w:pPr>
      <w:r>
        <w:t>限界もあります。識別には、既知のclass数r、anchor ordering、supported pairs、Missing IV exclusion、completeness、局所独立性、rank条件、有限latent-class modelが必要です。提案法はselection-link misspecificationには頑健ですが、これらの仮定やlatent-class modelの誤指定まで許すものではありません。また、class proportionのRMSEは正指定selection likelihoodを上回り得ます。漸近正規性は有限次元bridgeに対する結果であり、sieve inferenceには追加のinverse-problem theoryが必要です。</w:t>
      </w:r>
    </w:p>
    <w:p>
      <w:pPr>
        <w:spacing w:after="20"/>
      </w:pPr>
    </w:p>
    <w:p>
      <w:pPr>
        <w:pStyle w:val="Heading1"/>
      </w:pPr>
      <w:r>
        <w:t>Slide 33  Selected references</w:t>
      </w:r>
    </w:p>
    <w:p>
      <w:pPr>
        <w:keepLines/>
      </w:pPr>
      <w:r>
        <w:t>Stage 1はd’HaultfoeuilleとZhao and Shao、complete-case-law上のcompletenessはMiaoら、Stage 2はAllman、Matias and Rhodesに依拠しています。Lewbelはobservational equivalenceとpoint identificationの用語、Little and Rubinは欠測機構、Heckmanはsample-selection biasの基礎として参照しています。</w:t>
      </w:r>
    </w:p>
    <w:p>
      <w:pPr>
        <w:spacing w:after="20"/>
      </w:pPr>
    </w:p>
    <w:p>
      <w:pPr>
        <w:pStyle w:val="Heading1"/>
      </w:pPr>
      <w:r>
        <w:t>Appendix Slide 34  Proof of Theorem 1 (Steps 1--2)</w:t>
      </w:r>
    </w:p>
    <w:p>
      <w:pPr>
        <w:keepLines/>
      </w:pPr>
      <w:r>
        <w:t>Step 1では命題1によりanchor pairと全extension pairsのfull lawsを回復します。Step 2ではX equals xを固定し、局所独立性からY a、Y b、WをFとX equals xの下で三つの条件付き独立なviewとするanchor tensorを構成します。</w:t>
      </w:r>
    </w:p>
    <w:p>
      <w:pPr>
        <w:spacing w:after="20"/>
      </w:pPr>
    </w:p>
    <w:p>
      <w:pPr>
        <w:pStyle w:val="Heading1"/>
      </w:pPr>
      <w:r>
        <w:t>Appendix Slide 35  Proof of Theorem 1 (Steps 3--4)</w:t>
      </w:r>
    </w:p>
    <w:p>
      <w:pPr>
        <w:keepLines/>
      </w:pPr>
      <w:r>
        <w:t>Step 3ではKruskal rank conditionからanchor tensorの分解をcommon permutationとcolumn scalingを除いて一意にします。Step 4では確率ベクトルの列和でscalingを固定し、anchor orderingでclass labelsを固定します。</w:t>
      </w:r>
    </w:p>
    <w:p>
      <w:pPr>
        <w:spacing w:after="20"/>
      </w:pPr>
    </w:p>
    <w:p>
      <w:pPr>
        <w:pStyle w:val="Heading1"/>
      </w:pPr>
      <w:r>
        <w:t>Appendix Slide 36  Proof of Theorem 1 (Steps 5--6)</w:t>
      </w:r>
    </w:p>
    <w:p>
      <w:pPr>
        <w:keepLines/>
      </w:pPr>
      <w:r>
        <w:t>Step 5では補題3.1によりG Khatri–Rao M aがfull column rankであることを示し、extension inversionを一意にします。Step 6では識別されたpとGへBayes則を適用し、WとXを条件とするlatent class distributionを得ます。</w:t>
      </w:r>
    </w:p>
    <w:p>
      <w:pPr>
        <w:spacing w:after="20"/>
      </w:pPr>
    </w:p>
    <w:p>
      <w:pPr>
        <w:pStyle w:val="Heading1"/>
      </w:pPr>
      <w:r>
        <w:t>Appendix Slide 37  Proof of Theorem 1 (Steps 7--8)</w:t>
      </w:r>
    </w:p>
    <w:p>
      <w:pPr>
        <w:keepLines/>
      </w:pPr>
      <w:r>
        <w:t>Step 7では各extension tensorを線形反転して全measurement kernels M jを識別します。Step 8では識別されたlatent weightsとmeasurement kernelsを局所独立モデルへ代入し、一度も同時観測されていない項目集合のjoint lawを構成します。</w:t>
      </w:r>
    </w:p>
    <w:p>
      <w:pPr>
        <w:spacing w:after="20"/>
      </w:pPr>
    </w:p>
    <w:p>
      <w:pPr>
        <w:pStyle w:val="Heading1"/>
      </w:pPr>
      <w:r>
        <w:t>Appendix Slide 38  Empirical diagnostics and falsification checks</w:t>
      </w:r>
    </w:p>
    <w:p>
      <w:pPr>
        <w:keepLines/>
      </w:pPr>
      <w:r>
        <w:t>候補となるMissing IV、latent shifter、covariates、anchor itemsの割当てについて、relevance、finite complete-case operatorのrank、supported-block positivity、third-mode rank、anchor separationを診断できます。冗長なblocksから得られるmeasurement kernelsの一致はoveridentifying restrictionになります。</w:t>
      </w:r>
    </w:p>
    <w:p>
      <w:pPr>
        <w:keepLines/>
      </w:pPr>
      <w:r>
        <w:t>ただし、診断に適合するだけでMissing IV exclusion、measurement exclusion、局所独立性が検証されたとはいえません。不適合は候補設計を反証できますが、適合は全仮定の正しさを保証しません。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