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1A539" w14:textId="77777777" w:rsidR="00B10200" w:rsidRPr="00B10200" w:rsidRDefault="00B10200" w:rsidP="00B10200">
      <w:pPr>
        <w:rPr>
          <w:b/>
          <w:bCs/>
          <w:sz w:val="24"/>
          <w:szCs w:val="24"/>
        </w:rPr>
      </w:pPr>
      <w:r w:rsidRPr="00B10200">
        <w:rPr>
          <w:b/>
          <w:bCs/>
          <w:sz w:val="24"/>
          <w:szCs w:val="24"/>
        </w:rPr>
        <w:t>Summary Post</w:t>
      </w:r>
    </w:p>
    <w:p w14:paraId="512C6F19" w14:textId="77777777" w:rsidR="00B10200" w:rsidRPr="00B10200" w:rsidRDefault="00B10200" w:rsidP="00B10200">
      <w:pPr>
        <w:rPr>
          <w:sz w:val="24"/>
          <w:szCs w:val="24"/>
        </w:rPr>
      </w:pPr>
      <w:r w:rsidRPr="00B10200">
        <w:rPr>
          <w:sz w:val="24"/>
          <w:szCs w:val="24"/>
        </w:rPr>
        <w:t xml:space="preserve">The discussion around Abi’s dilemma has shown that the issue extends beyond whether data are altered to how analytical decisions can distort findings. In my initial post, I highlighted that selectively presenting only positive outcomes breaches professional expectations of honesty and transparency. My peers strengthened this by explaining that such behaviour is not only ethically problematic but also methodologically flawed. Jordan’s point about </w:t>
      </w:r>
      <w:r w:rsidRPr="00B10200">
        <w:rPr>
          <w:i/>
          <w:iCs/>
          <w:sz w:val="24"/>
          <w:szCs w:val="24"/>
        </w:rPr>
        <w:t>p-hacking</w:t>
      </w:r>
      <w:r w:rsidRPr="00B10200">
        <w:rPr>
          <w:sz w:val="24"/>
          <w:szCs w:val="24"/>
        </w:rPr>
        <w:t xml:space="preserve"> demonstrates that choosing analyses based on favourable outcomes invalidates the statistical conclusions and undermines scientific reliability (Head et al., 2015; Wasserstein and Lazar, 2016). This reframes selective reporting as producing results that may be scientifically misleading even when the raw data remain untouched.</w:t>
      </w:r>
    </w:p>
    <w:p w14:paraId="30AEE16F" w14:textId="77777777" w:rsidR="00B10200" w:rsidRPr="00B10200" w:rsidRDefault="00B10200" w:rsidP="00B10200">
      <w:pPr>
        <w:rPr>
          <w:sz w:val="24"/>
          <w:szCs w:val="24"/>
        </w:rPr>
      </w:pPr>
      <w:proofErr w:type="spellStart"/>
      <w:r w:rsidRPr="00B10200">
        <w:rPr>
          <w:sz w:val="24"/>
          <w:szCs w:val="24"/>
        </w:rPr>
        <w:t>Tasnika</w:t>
      </w:r>
      <w:proofErr w:type="spellEnd"/>
      <w:r w:rsidRPr="00B10200">
        <w:rPr>
          <w:sz w:val="24"/>
          <w:szCs w:val="24"/>
        </w:rPr>
        <w:t xml:space="preserve"> and David further reinforced the importance of transparency, emphasising how selective reporting erodes trust, misinforms stakeholders, and potentially exposes consumers to harm. Their references to professional codes, consumer protection legislation, and industry examples helped situate Abi’s responsibility in a wider ethical and social context. The idea of preregistering an analysis plan (Nosek et al., 2018) was particularly valuable, as it demonstrates that ethical behaviour can be supported through structural safeguards rather than individual judgement alone.</w:t>
      </w:r>
    </w:p>
    <w:p w14:paraId="400B2083" w14:textId="2A47B272" w:rsidR="00B10200" w:rsidRPr="00B10200" w:rsidRDefault="00B10200" w:rsidP="00B10200">
      <w:pPr>
        <w:rPr>
          <w:sz w:val="24"/>
          <w:szCs w:val="24"/>
        </w:rPr>
      </w:pPr>
      <w:r w:rsidRPr="00B10200">
        <w:rPr>
          <w:sz w:val="24"/>
          <w:szCs w:val="24"/>
        </w:rPr>
        <w:t xml:space="preserve">Overall, the feedback </w:t>
      </w:r>
      <w:r w:rsidR="00B16DAB">
        <w:rPr>
          <w:sz w:val="24"/>
          <w:szCs w:val="24"/>
        </w:rPr>
        <w:t>emphasised that ethical statistical practice necessitates methodological integrity, transparency about limitations, and consideration</w:t>
      </w:r>
      <w:r w:rsidRPr="00B10200">
        <w:rPr>
          <w:sz w:val="24"/>
          <w:szCs w:val="24"/>
        </w:rPr>
        <w:t xml:space="preserve"> of social consequences. Abi’s situation illustrates why transparency and predefined analytical frameworks are essential for maintaining professional integrity and public trust.</w:t>
      </w:r>
    </w:p>
    <w:p w14:paraId="05EB1C7B" w14:textId="4D1DC1D2" w:rsidR="00B10200" w:rsidRPr="00B10200" w:rsidRDefault="00B10200" w:rsidP="00B10200">
      <w:pPr>
        <w:rPr>
          <w:sz w:val="24"/>
          <w:szCs w:val="24"/>
        </w:rPr>
      </w:pPr>
    </w:p>
    <w:p w14:paraId="27B05AD3" w14:textId="3561174B" w:rsidR="00B10200" w:rsidRPr="00B10200" w:rsidRDefault="00B10200" w:rsidP="00B10200">
      <w:pPr>
        <w:rPr>
          <w:b/>
          <w:bCs/>
          <w:sz w:val="24"/>
          <w:szCs w:val="24"/>
        </w:rPr>
      </w:pPr>
      <w:r w:rsidRPr="00B10200">
        <w:rPr>
          <w:b/>
          <w:bCs/>
          <w:sz w:val="24"/>
          <w:szCs w:val="24"/>
        </w:rPr>
        <w:t xml:space="preserve">References </w:t>
      </w:r>
    </w:p>
    <w:p w14:paraId="339916B6" w14:textId="77777777" w:rsidR="00B10200" w:rsidRPr="00622D1C" w:rsidRDefault="00B10200" w:rsidP="00622D1C">
      <w:pPr>
        <w:pStyle w:val="ListParagraph"/>
        <w:numPr>
          <w:ilvl w:val="0"/>
          <w:numId w:val="1"/>
        </w:numPr>
        <w:rPr>
          <w:sz w:val="24"/>
          <w:szCs w:val="24"/>
        </w:rPr>
      </w:pPr>
      <w:r w:rsidRPr="00622D1C">
        <w:rPr>
          <w:sz w:val="24"/>
          <w:szCs w:val="24"/>
        </w:rPr>
        <w:t xml:space="preserve">ACM (2018) </w:t>
      </w:r>
      <w:r w:rsidRPr="00622D1C">
        <w:rPr>
          <w:i/>
          <w:iCs/>
          <w:sz w:val="24"/>
          <w:szCs w:val="24"/>
        </w:rPr>
        <w:t>ACM Code of Ethics and Professional Conduct</w:t>
      </w:r>
      <w:r w:rsidRPr="00622D1C">
        <w:rPr>
          <w:sz w:val="24"/>
          <w:szCs w:val="24"/>
        </w:rPr>
        <w:t xml:space="preserve">. Available at: </w:t>
      </w:r>
      <w:hyperlink r:id="rId5" w:tgtFrame="_new" w:history="1">
        <w:r w:rsidRPr="00622D1C">
          <w:rPr>
            <w:rStyle w:val="Hyperlink"/>
            <w:sz w:val="24"/>
            <w:szCs w:val="24"/>
          </w:rPr>
          <w:t>https://www.acm.org/cod</w:t>
        </w:r>
        <w:r w:rsidRPr="00622D1C">
          <w:rPr>
            <w:rStyle w:val="Hyperlink"/>
            <w:sz w:val="24"/>
            <w:szCs w:val="24"/>
          </w:rPr>
          <w:t>e</w:t>
        </w:r>
        <w:r w:rsidRPr="00622D1C">
          <w:rPr>
            <w:rStyle w:val="Hyperlink"/>
            <w:sz w:val="24"/>
            <w:szCs w:val="24"/>
          </w:rPr>
          <w:t>-of-ethics</w:t>
        </w:r>
      </w:hyperlink>
    </w:p>
    <w:p w14:paraId="13091797" w14:textId="77777777" w:rsidR="00B10200" w:rsidRPr="00622D1C" w:rsidRDefault="00B10200" w:rsidP="00622D1C">
      <w:pPr>
        <w:pStyle w:val="ListParagraph"/>
        <w:numPr>
          <w:ilvl w:val="0"/>
          <w:numId w:val="1"/>
        </w:numPr>
        <w:rPr>
          <w:sz w:val="24"/>
          <w:szCs w:val="24"/>
        </w:rPr>
      </w:pPr>
      <w:r w:rsidRPr="00622D1C">
        <w:rPr>
          <w:sz w:val="24"/>
          <w:szCs w:val="24"/>
        </w:rPr>
        <w:t xml:space="preserve">British Psychological Society (2021) </w:t>
      </w:r>
      <w:r w:rsidRPr="00622D1C">
        <w:rPr>
          <w:i/>
          <w:iCs/>
          <w:sz w:val="24"/>
          <w:szCs w:val="24"/>
        </w:rPr>
        <w:t>Code of Ethics and Conduct</w:t>
      </w:r>
      <w:r w:rsidRPr="00622D1C">
        <w:rPr>
          <w:sz w:val="24"/>
          <w:szCs w:val="24"/>
        </w:rPr>
        <w:t>. Leicester: BPS.</w:t>
      </w:r>
    </w:p>
    <w:p w14:paraId="5EDABCAB" w14:textId="77777777" w:rsidR="00B10200" w:rsidRPr="00622D1C" w:rsidRDefault="00B10200" w:rsidP="00622D1C">
      <w:pPr>
        <w:pStyle w:val="ListParagraph"/>
        <w:numPr>
          <w:ilvl w:val="0"/>
          <w:numId w:val="1"/>
        </w:numPr>
        <w:rPr>
          <w:sz w:val="24"/>
          <w:szCs w:val="24"/>
        </w:rPr>
      </w:pPr>
      <w:r w:rsidRPr="00622D1C">
        <w:rPr>
          <w:sz w:val="24"/>
          <w:szCs w:val="24"/>
        </w:rPr>
        <w:t xml:space="preserve">Head, M.L., Holman, L., Lanfear, R., Kahn, A.T. and </w:t>
      </w:r>
      <w:proofErr w:type="spellStart"/>
      <w:r w:rsidRPr="00622D1C">
        <w:rPr>
          <w:sz w:val="24"/>
          <w:szCs w:val="24"/>
        </w:rPr>
        <w:t>Jennions</w:t>
      </w:r>
      <w:proofErr w:type="spellEnd"/>
      <w:r w:rsidRPr="00622D1C">
        <w:rPr>
          <w:sz w:val="24"/>
          <w:szCs w:val="24"/>
        </w:rPr>
        <w:t xml:space="preserve">, M.D. (2015) ‘The extent and consequences of p-hacking in science’, </w:t>
      </w:r>
      <w:proofErr w:type="spellStart"/>
      <w:r w:rsidRPr="00622D1C">
        <w:rPr>
          <w:i/>
          <w:iCs/>
          <w:sz w:val="24"/>
          <w:szCs w:val="24"/>
        </w:rPr>
        <w:t>PLoS</w:t>
      </w:r>
      <w:proofErr w:type="spellEnd"/>
      <w:r w:rsidRPr="00622D1C">
        <w:rPr>
          <w:i/>
          <w:iCs/>
          <w:sz w:val="24"/>
          <w:szCs w:val="24"/>
        </w:rPr>
        <w:t xml:space="preserve"> Biology</w:t>
      </w:r>
      <w:r w:rsidRPr="00622D1C">
        <w:rPr>
          <w:sz w:val="24"/>
          <w:szCs w:val="24"/>
        </w:rPr>
        <w:t>, 13(3), p.e1002106.</w:t>
      </w:r>
    </w:p>
    <w:p w14:paraId="0884CA89" w14:textId="77777777" w:rsidR="00B10200" w:rsidRPr="00622D1C" w:rsidRDefault="00B10200" w:rsidP="00622D1C">
      <w:pPr>
        <w:pStyle w:val="ListParagraph"/>
        <w:numPr>
          <w:ilvl w:val="0"/>
          <w:numId w:val="1"/>
        </w:numPr>
        <w:rPr>
          <w:sz w:val="24"/>
          <w:szCs w:val="24"/>
        </w:rPr>
      </w:pPr>
      <w:r w:rsidRPr="00622D1C">
        <w:rPr>
          <w:sz w:val="24"/>
          <w:szCs w:val="24"/>
        </w:rPr>
        <w:t xml:space="preserve">Nosek, B.A., Ebersole, C.R., DeHaven, A.C. and Mellor, D.T. (2018) ‘The preregistration revolution’, </w:t>
      </w:r>
      <w:r w:rsidRPr="00622D1C">
        <w:rPr>
          <w:i/>
          <w:iCs/>
          <w:sz w:val="24"/>
          <w:szCs w:val="24"/>
        </w:rPr>
        <w:t>Proceedings of the National Academy of Sciences</w:t>
      </w:r>
      <w:r w:rsidRPr="00622D1C">
        <w:rPr>
          <w:sz w:val="24"/>
          <w:szCs w:val="24"/>
        </w:rPr>
        <w:t>, 115(11), pp. 2600–2606.</w:t>
      </w:r>
    </w:p>
    <w:p w14:paraId="695A9826" w14:textId="77777777" w:rsidR="00B10200" w:rsidRPr="00622D1C" w:rsidRDefault="00B10200" w:rsidP="00622D1C">
      <w:pPr>
        <w:pStyle w:val="ListParagraph"/>
        <w:numPr>
          <w:ilvl w:val="0"/>
          <w:numId w:val="1"/>
        </w:numPr>
        <w:rPr>
          <w:sz w:val="24"/>
          <w:szCs w:val="24"/>
        </w:rPr>
      </w:pPr>
      <w:r w:rsidRPr="00622D1C">
        <w:rPr>
          <w:sz w:val="24"/>
          <w:szCs w:val="24"/>
        </w:rPr>
        <w:t xml:space="preserve">Resnik, D.B. (2020) </w:t>
      </w:r>
      <w:r w:rsidRPr="00622D1C">
        <w:rPr>
          <w:i/>
          <w:iCs/>
          <w:sz w:val="24"/>
          <w:szCs w:val="24"/>
        </w:rPr>
        <w:t>The Ethics of Research with Human Subjects: Protecting People, Advancing Science, Promoting Trust</w:t>
      </w:r>
      <w:r w:rsidRPr="00622D1C">
        <w:rPr>
          <w:sz w:val="24"/>
          <w:szCs w:val="24"/>
        </w:rPr>
        <w:t xml:space="preserve">. 2nd </w:t>
      </w:r>
      <w:proofErr w:type="spellStart"/>
      <w:r w:rsidRPr="00622D1C">
        <w:rPr>
          <w:sz w:val="24"/>
          <w:szCs w:val="24"/>
        </w:rPr>
        <w:t>edn</w:t>
      </w:r>
      <w:proofErr w:type="spellEnd"/>
      <w:r w:rsidRPr="00622D1C">
        <w:rPr>
          <w:sz w:val="24"/>
          <w:szCs w:val="24"/>
        </w:rPr>
        <w:t>. Cham: Springer.</w:t>
      </w:r>
    </w:p>
    <w:p w14:paraId="538BD45A" w14:textId="77777777" w:rsidR="00B10200" w:rsidRPr="00622D1C" w:rsidRDefault="00B10200" w:rsidP="00622D1C">
      <w:pPr>
        <w:pStyle w:val="ListParagraph"/>
        <w:numPr>
          <w:ilvl w:val="0"/>
          <w:numId w:val="1"/>
        </w:numPr>
        <w:rPr>
          <w:sz w:val="24"/>
          <w:szCs w:val="24"/>
        </w:rPr>
      </w:pPr>
      <w:r w:rsidRPr="00622D1C">
        <w:rPr>
          <w:sz w:val="24"/>
          <w:szCs w:val="24"/>
        </w:rPr>
        <w:t xml:space="preserve">UK Government (2008) </w:t>
      </w:r>
      <w:r w:rsidRPr="00622D1C">
        <w:rPr>
          <w:i/>
          <w:iCs/>
          <w:sz w:val="24"/>
          <w:szCs w:val="24"/>
        </w:rPr>
        <w:t>Consumer Protection from Unfair Trading Regulations 2008</w:t>
      </w:r>
      <w:r w:rsidRPr="00622D1C">
        <w:rPr>
          <w:sz w:val="24"/>
          <w:szCs w:val="24"/>
        </w:rPr>
        <w:t>.</w:t>
      </w:r>
    </w:p>
    <w:p w14:paraId="365E65C6" w14:textId="77777777" w:rsidR="00B10200" w:rsidRPr="00622D1C" w:rsidRDefault="00B10200" w:rsidP="00622D1C">
      <w:pPr>
        <w:pStyle w:val="ListParagraph"/>
        <w:numPr>
          <w:ilvl w:val="0"/>
          <w:numId w:val="1"/>
        </w:numPr>
        <w:rPr>
          <w:sz w:val="24"/>
          <w:szCs w:val="24"/>
        </w:rPr>
      </w:pPr>
      <w:r w:rsidRPr="00622D1C">
        <w:rPr>
          <w:sz w:val="24"/>
          <w:szCs w:val="24"/>
        </w:rPr>
        <w:t xml:space="preserve">Wasserstein, R.L. and Lazar, N.A. (2016) ‘The ASA’s Statement on p-Values: Context, Process, and Purpose’, </w:t>
      </w:r>
      <w:r w:rsidRPr="00622D1C">
        <w:rPr>
          <w:i/>
          <w:iCs/>
          <w:sz w:val="24"/>
          <w:szCs w:val="24"/>
        </w:rPr>
        <w:t>The American Statistician</w:t>
      </w:r>
      <w:r w:rsidRPr="00622D1C">
        <w:rPr>
          <w:sz w:val="24"/>
          <w:szCs w:val="24"/>
        </w:rPr>
        <w:t>, 70(2), pp.129–133.</w:t>
      </w:r>
    </w:p>
    <w:p w14:paraId="7EEEEEC6" w14:textId="77777777" w:rsidR="00622D1C" w:rsidRDefault="00B10200" w:rsidP="00622D1C">
      <w:pPr>
        <w:pStyle w:val="ListParagraph"/>
        <w:numPr>
          <w:ilvl w:val="0"/>
          <w:numId w:val="1"/>
        </w:numPr>
        <w:rPr>
          <w:sz w:val="24"/>
          <w:szCs w:val="24"/>
        </w:rPr>
      </w:pPr>
      <w:r w:rsidRPr="00622D1C">
        <w:rPr>
          <w:sz w:val="24"/>
          <w:szCs w:val="24"/>
        </w:rPr>
        <w:t xml:space="preserve">Xie, Y., Wang, K. and Kong, Y. (2021) ‘Prevalence of research misconduct and questionable research practices’, </w:t>
      </w:r>
      <w:r w:rsidRPr="00622D1C">
        <w:rPr>
          <w:i/>
          <w:iCs/>
          <w:sz w:val="24"/>
          <w:szCs w:val="24"/>
        </w:rPr>
        <w:t>Science and Engineering Ethics</w:t>
      </w:r>
      <w:r w:rsidRPr="00622D1C">
        <w:rPr>
          <w:sz w:val="24"/>
          <w:szCs w:val="24"/>
        </w:rPr>
        <w:t>, 27(41).</w:t>
      </w:r>
    </w:p>
    <w:p w14:paraId="0539D30B" w14:textId="6111B238" w:rsidR="00B10200" w:rsidRPr="00622D1C" w:rsidRDefault="00B10200" w:rsidP="00622D1C">
      <w:pPr>
        <w:pStyle w:val="ListParagraph"/>
        <w:numPr>
          <w:ilvl w:val="0"/>
          <w:numId w:val="1"/>
        </w:numPr>
        <w:rPr>
          <w:sz w:val="24"/>
          <w:szCs w:val="24"/>
        </w:rPr>
      </w:pPr>
      <w:r w:rsidRPr="00622D1C">
        <w:rPr>
          <w:sz w:val="24"/>
          <w:szCs w:val="24"/>
        </w:rPr>
        <w:t xml:space="preserve">Rizinski, M., Rahman, T., </w:t>
      </w:r>
      <w:proofErr w:type="spellStart"/>
      <w:r w:rsidRPr="00622D1C">
        <w:rPr>
          <w:sz w:val="24"/>
          <w:szCs w:val="24"/>
        </w:rPr>
        <w:t>Alabdulatif</w:t>
      </w:r>
      <w:proofErr w:type="spellEnd"/>
      <w:r w:rsidRPr="00622D1C">
        <w:rPr>
          <w:sz w:val="24"/>
          <w:szCs w:val="24"/>
        </w:rPr>
        <w:t xml:space="preserve">, A. and Kuo, T. (2022) ‘Ethically responsible machine learning in fintech’, </w:t>
      </w:r>
      <w:r w:rsidRPr="00622D1C">
        <w:rPr>
          <w:i/>
          <w:iCs/>
          <w:sz w:val="24"/>
          <w:szCs w:val="24"/>
        </w:rPr>
        <w:t>IEEE Access</w:t>
      </w:r>
      <w:r w:rsidRPr="00622D1C">
        <w:rPr>
          <w:sz w:val="24"/>
          <w:szCs w:val="24"/>
        </w:rPr>
        <w:t>, 10, pp. 97531–97552.</w:t>
      </w:r>
    </w:p>
    <w:p w14:paraId="4F71AE21" w14:textId="77777777" w:rsidR="006C3575" w:rsidRPr="00B10200" w:rsidRDefault="006C3575">
      <w:pPr>
        <w:rPr>
          <w:sz w:val="24"/>
          <w:szCs w:val="24"/>
        </w:rPr>
      </w:pPr>
    </w:p>
    <w:sectPr w:rsidR="006C3575" w:rsidRPr="00B10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267F6"/>
    <w:multiLevelType w:val="hybridMultilevel"/>
    <w:tmpl w:val="1626F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754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35C1"/>
    <w:rsid w:val="001B2CB6"/>
    <w:rsid w:val="0025726F"/>
    <w:rsid w:val="00276A1B"/>
    <w:rsid w:val="003135C1"/>
    <w:rsid w:val="00622D1C"/>
    <w:rsid w:val="006C3575"/>
    <w:rsid w:val="009A4979"/>
    <w:rsid w:val="00A121AF"/>
    <w:rsid w:val="00B10200"/>
    <w:rsid w:val="00B16DAB"/>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32979"/>
  <w15:chartTrackingRefBased/>
  <w15:docId w15:val="{8312E3F6-2C51-4A1E-BCE1-C0C2EE75C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5C1"/>
    <w:rPr>
      <w:rFonts w:eastAsiaTheme="majorEastAsia" w:cstheme="majorBidi"/>
      <w:color w:val="272727" w:themeColor="text1" w:themeTint="D8"/>
    </w:rPr>
  </w:style>
  <w:style w:type="paragraph" w:styleId="Title">
    <w:name w:val="Title"/>
    <w:basedOn w:val="Normal"/>
    <w:next w:val="Normal"/>
    <w:link w:val="TitleChar"/>
    <w:uiPriority w:val="10"/>
    <w:qFormat/>
    <w:rsid w:val="0031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5C1"/>
    <w:pPr>
      <w:spacing w:before="160"/>
      <w:jc w:val="center"/>
    </w:pPr>
    <w:rPr>
      <w:i/>
      <w:iCs/>
      <w:color w:val="404040" w:themeColor="text1" w:themeTint="BF"/>
    </w:rPr>
  </w:style>
  <w:style w:type="character" w:customStyle="1" w:styleId="QuoteChar">
    <w:name w:val="Quote Char"/>
    <w:basedOn w:val="DefaultParagraphFont"/>
    <w:link w:val="Quote"/>
    <w:uiPriority w:val="29"/>
    <w:rsid w:val="003135C1"/>
    <w:rPr>
      <w:i/>
      <w:iCs/>
      <w:color w:val="404040" w:themeColor="text1" w:themeTint="BF"/>
    </w:rPr>
  </w:style>
  <w:style w:type="paragraph" w:styleId="ListParagraph">
    <w:name w:val="List Paragraph"/>
    <w:basedOn w:val="Normal"/>
    <w:uiPriority w:val="34"/>
    <w:qFormat/>
    <w:rsid w:val="003135C1"/>
    <w:pPr>
      <w:ind w:left="720"/>
      <w:contextualSpacing/>
    </w:pPr>
  </w:style>
  <w:style w:type="character" w:styleId="IntenseEmphasis">
    <w:name w:val="Intense Emphasis"/>
    <w:basedOn w:val="DefaultParagraphFont"/>
    <w:uiPriority w:val="21"/>
    <w:qFormat/>
    <w:rsid w:val="003135C1"/>
    <w:rPr>
      <w:i/>
      <w:iCs/>
      <w:color w:val="2F5496" w:themeColor="accent1" w:themeShade="BF"/>
    </w:rPr>
  </w:style>
  <w:style w:type="paragraph" w:styleId="IntenseQuote">
    <w:name w:val="Intense Quote"/>
    <w:basedOn w:val="Normal"/>
    <w:next w:val="Normal"/>
    <w:link w:val="IntenseQuoteChar"/>
    <w:uiPriority w:val="30"/>
    <w:qFormat/>
    <w:rsid w:val="00313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5C1"/>
    <w:rPr>
      <w:i/>
      <w:iCs/>
      <w:color w:val="2F5496" w:themeColor="accent1" w:themeShade="BF"/>
    </w:rPr>
  </w:style>
  <w:style w:type="character" w:styleId="IntenseReference">
    <w:name w:val="Intense Reference"/>
    <w:basedOn w:val="DefaultParagraphFont"/>
    <w:uiPriority w:val="32"/>
    <w:qFormat/>
    <w:rsid w:val="003135C1"/>
    <w:rPr>
      <w:b/>
      <w:bCs/>
      <w:smallCaps/>
      <w:color w:val="2F5496" w:themeColor="accent1" w:themeShade="BF"/>
      <w:spacing w:val="5"/>
    </w:rPr>
  </w:style>
  <w:style w:type="character" w:styleId="Hyperlink">
    <w:name w:val="Hyperlink"/>
    <w:basedOn w:val="DefaultParagraphFont"/>
    <w:uiPriority w:val="99"/>
    <w:unhideWhenUsed/>
    <w:rsid w:val="00B10200"/>
    <w:rPr>
      <w:color w:val="0563C1" w:themeColor="hyperlink"/>
      <w:u w:val="single"/>
    </w:rPr>
  </w:style>
  <w:style w:type="character" w:styleId="UnresolvedMention">
    <w:name w:val="Unresolved Mention"/>
    <w:basedOn w:val="DefaultParagraphFont"/>
    <w:uiPriority w:val="99"/>
    <w:semiHidden/>
    <w:unhideWhenUsed/>
    <w:rsid w:val="00B10200"/>
    <w:rPr>
      <w:color w:val="605E5C"/>
      <w:shd w:val="clear" w:color="auto" w:fill="E1DFDD"/>
    </w:rPr>
  </w:style>
  <w:style w:type="character" w:styleId="FollowedHyperlink">
    <w:name w:val="FollowedHyperlink"/>
    <w:basedOn w:val="DefaultParagraphFont"/>
    <w:uiPriority w:val="99"/>
    <w:semiHidden/>
    <w:unhideWhenUsed/>
    <w:rsid w:val="00B16D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cm.org/code-of-et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4</cp:revision>
  <dcterms:created xsi:type="dcterms:W3CDTF">2026-01-03T13:38:00Z</dcterms:created>
  <dcterms:modified xsi:type="dcterms:W3CDTF">2026-01-03T13:41:00Z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c6d7fbf4-7aff-4aef-8701-5938cb3eea3c</vt:lpwstr>
  </property>
</Properties>
</file>