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5E9CD" w14:textId="20EB19C4" w:rsidR="008D002A" w:rsidRPr="008D002A" w:rsidRDefault="008D002A" w:rsidP="008D002A">
      <w:pPr>
        <w:rPr>
          <w:rFonts w:asciiTheme="minorBidi" w:hAnsiTheme="minorBidi"/>
          <w:b/>
          <w:bCs/>
          <w:sz w:val="24"/>
          <w:szCs w:val="24"/>
        </w:rPr>
      </w:pPr>
      <w:r w:rsidRPr="008D002A">
        <w:rPr>
          <w:rFonts w:asciiTheme="minorBidi" w:hAnsiTheme="minorBidi"/>
          <w:b/>
          <w:bCs/>
          <w:sz w:val="24"/>
          <w:szCs w:val="24"/>
        </w:rPr>
        <w:t>Research Methods and Professional Practice</w:t>
      </w:r>
    </w:p>
    <w:p w14:paraId="0961B78F" w14:textId="77777777" w:rsidR="008D002A" w:rsidRPr="008D002A" w:rsidRDefault="008D002A" w:rsidP="008D002A">
      <w:pPr>
        <w:rPr>
          <w:rFonts w:asciiTheme="minorBidi" w:hAnsiTheme="minorBidi"/>
          <w:b/>
          <w:bCs/>
          <w:sz w:val="24"/>
          <w:szCs w:val="24"/>
        </w:rPr>
      </w:pPr>
      <w:r w:rsidRPr="008D002A">
        <w:rPr>
          <w:rFonts w:asciiTheme="minorBidi" w:hAnsiTheme="minorBidi"/>
          <w:b/>
          <w:bCs/>
          <w:sz w:val="24"/>
          <w:szCs w:val="24"/>
        </w:rPr>
        <w:t>e-Portfolio Link</w:t>
      </w:r>
    </w:p>
    <w:p w14:paraId="5D75C05E" w14:textId="6FC7D709" w:rsidR="008D002A" w:rsidRPr="008D002A" w:rsidRDefault="008D002A" w:rsidP="008D002A">
      <w:pPr>
        <w:rPr>
          <w:rFonts w:asciiTheme="minorBidi" w:hAnsiTheme="minorBidi"/>
          <w:sz w:val="24"/>
          <w:szCs w:val="24"/>
        </w:rPr>
      </w:pPr>
      <w:hyperlink r:id="rId5" w:history="1">
        <w:r w:rsidRPr="008D002A">
          <w:rPr>
            <w:rStyle w:val="Hyperlink"/>
            <w:rFonts w:asciiTheme="minorBidi" w:hAnsiTheme="minorBidi"/>
            <w:sz w:val="24"/>
            <w:szCs w:val="24"/>
          </w:rPr>
          <w:t>https://mhussein92.github.io/MAHussein92/university/journal/RMPP-Journal.html</w:t>
        </w:r>
      </w:hyperlink>
      <w:r w:rsidRPr="008D002A">
        <w:rPr>
          <w:rFonts w:asciiTheme="minorBidi" w:hAnsiTheme="minorBidi"/>
          <w:sz w:val="24"/>
          <w:szCs w:val="24"/>
        </w:rPr>
        <w:t xml:space="preserve"> </w:t>
      </w:r>
    </w:p>
    <w:p w14:paraId="3CC0AB50" w14:textId="77777777" w:rsidR="008D002A" w:rsidRPr="008D002A" w:rsidRDefault="008D002A" w:rsidP="008D002A">
      <w:pPr>
        <w:rPr>
          <w:rFonts w:asciiTheme="minorBidi" w:hAnsiTheme="minorBidi"/>
          <w:sz w:val="24"/>
          <w:szCs w:val="24"/>
        </w:rPr>
      </w:pPr>
      <w:r w:rsidRPr="008D002A">
        <w:rPr>
          <w:rFonts w:asciiTheme="minorBidi" w:hAnsiTheme="minorBidi"/>
          <w:sz w:val="24"/>
          <w:szCs w:val="24"/>
        </w:rPr>
        <w:t>This module has provided a structured and progressive learning journey that has significantly strengthened my ability to undertake rigorous research within a computing context, while also shaping my professional practice as an IT Project Manager. Rather than viewing learning as a series of isolated units, the module supported a cumulative understanding of how research design, data analysis, ethics, and professional judgement interconnect to produce credible and responsible outcomes (Saunders et al., 2023). The integration of theory, applied exercises, and reflective activities encouraged a more critical and evidence-based approach to both academic research and professional decision-making.</w:t>
      </w:r>
    </w:p>
    <w:p w14:paraId="4678F334" w14:textId="42B60B2D" w:rsidR="008D002A" w:rsidRPr="008D002A" w:rsidRDefault="008D002A" w:rsidP="008D002A">
      <w:pPr>
        <w:rPr>
          <w:rFonts w:asciiTheme="minorBidi" w:hAnsiTheme="minorBidi"/>
          <w:sz w:val="24"/>
          <w:szCs w:val="24"/>
        </w:rPr>
      </w:pPr>
      <w:r w:rsidRPr="008D002A">
        <w:rPr>
          <w:rFonts w:asciiTheme="minorBidi" w:hAnsiTheme="minorBidi"/>
          <w:sz w:val="24"/>
          <w:szCs w:val="24"/>
        </w:rPr>
        <w:t>A key area of development throughout the module has been my statistical analysis skills. Before this module, my experience with data was largely operational, focused on reporting and performance monitoring rather than formal statistical reasoning. Through the quantitative components, I developed a clearer understanding of how data is structured, measured, and analysed, particularly the distinction between descriptive and inferential statistics (Field, 2018). Completing hypothesis testing and summary measures exercises required critical interpretation of numerical outputs rather than accepting results at face value. This challenged my initial tendency to focus on outcomes without fully considering variability, probability, and uncertainty. Learning to justify conclusions using statistical evidence strengthened my analytical discipline and reinforced the importance of transparency when communicating findings (Purdue University, 2023). These skills are directly transferable to professional practice, where data-driven decisions must be defensible and clearly communicated to diverse technical and non-technical stakeholders.</w:t>
      </w:r>
    </w:p>
    <w:p w14:paraId="2916F53F" w14:textId="77777777" w:rsidR="008D002A" w:rsidRPr="008D002A" w:rsidRDefault="008D002A" w:rsidP="008D002A">
      <w:pPr>
        <w:rPr>
          <w:rFonts w:asciiTheme="minorBidi" w:hAnsiTheme="minorBidi"/>
          <w:sz w:val="24"/>
          <w:szCs w:val="24"/>
        </w:rPr>
      </w:pPr>
      <w:r w:rsidRPr="008D002A">
        <w:rPr>
          <w:rFonts w:asciiTheme="minorBidi" w:hAnsiTheme="minorBidi"/>
          <w:sz w:val="24"/>
          <w:szCs w:val="24"/>
        </w:rPr>
        <w:t>Alongside statistical competence, the module strengthened my understanding of the research methods process, from topic selection through to proposal development. Early engagement with inductive and deductive reasoning highlighted how assumptions shape research direction and interpretation (Andersen and Hepburn, 2020). This became particularly relevant during methodology selection, where choosing between qualitative, quantitative, or mixed methods was shown to be a strategic decision shaped by research aims, constraints, and ethical considerations rather than personal preference (Saunders et al., 2023). Evaluating research methods such as case studies, surveys, interviews, and observations demonstrated that no single approach is universally appropriate. Peer review activities were especially valuable, as critically analysing others’ work exposed methodological weaknesses that informed reflection on my own research design and strengthened my evaluative judgement (Hart, 2018).</w:t>
      </w:r>
    </w:p>
    <w:p w14:paraId="70CB462E" w14:textId="77777777" w:rsidR="008D002A" w:rsidRPr="008D002A" w:rsidRDefault="008D002A" w:rsidP="008D002A">
      <w:pPr>
        <w:rPr>
          <w:rFonts w:asciiTheme="minorBidi" w:hAnsiTheme="minorBidi"/>
          <w:sz w:val="24"/>
          <w:szCs w:val="24"/>
        </w:rPr>
      </w:pPr>
      <w:r w:rsidRPr="008D002A">
        <w:rPr>
          <w:rFonts w:asciiTheme="minorBidi" w:hAnsiTheme="minorBidi"/>
          <w:sz w:val="24"/>
          <w:szCs w:val="24"/>
        </w:rPr>
        <w:t xml:space="preserve">A further area of development resulting from this module is my improved ability to engage with uncertainty and complexity in both academic and professional contexts. Throughout the research process, particularly when analysing data and evaluating literature, I became more aware that ambiguity is not a weakness to be eliminated </w:t>
      </w:r>
      <w:r w:rsidRPr="008D002A">
        <w:rPr>
          <w:rFonts w:asciiTheme="minorBidi" w:hAnsiTheme="minorBidi"/>
          <w:sz w:val="24"/>
          <w:szCs w:val="24"/>
        </w:rPr>
        <w:lastRenderedPageBreak/>
        <w:t>but a feature that must be managed through careful reasoning and transparency (Saunders et al., 2023). Exposure to probabilistic thinking and inferential analysis strengthened my confidence in acknowledging limitations within datasets and research designs, rather than attempting to overstate certainty (Field, 2018). This has reshaped how I approach decision-making in my professional role, where project constraints, incomplete information, and evolving requirements are common. Instead of seeking definitive answers, I am now more comfortable presenting balanced evaluations that clearly articulate assumptions, risks, and evidence-based justifications (Creswell and Creswell, 2023). This approach aligns closely with best practice in both research methodology and IT governance.</w:t>
      </w:r>
    </w:p>
    <w:p w14:paraId="415039D0" w14:textId="77777777" w:rsidR="008D002A" w:rsidRPr="008D002A" w:rsidRDefault="008D002A" w:rsidP="008D002A">
      <w:pPr>
        <w:rPr>
          <w:rFonts w:asciiTheme="minorBidi" w:hAnsiTheme="minorBidi"/>
          <w:sz w:val="24"/>
          <w:szCs w:val="24"/>
        </w:rPr>
      </w:pPr>
      <w:r w:rsidRPr="008D002A">
        <w:rPr>
          <w:rFonts w:asciiTheme="minorBidi" w:hAnsiTheme="minorBidi"/>
          <w:sz w:val="24"/>
          <w:szCs w:val="24"/>
        </w:rPr>
        <w:t>Ethics has been one of the most influential themes across the module. Exploring ethics in computing, particularly in relation to generative AI, encouraged consideration beyond regulatory compliance towards accountability, fairness, and societal impact (</w:t>
      </w:r>
      <w:proofErr w:type="spellStart"/>
      <w:r w:rsidRPr="008D002A">
        <w:rPr>
          <w:rFonts w:asciiTheme="minorBidi" w:hAnsiTheme="minorBidi"/>
          <w:sz w:val="24"/>
          <w:szCs w:val="24"/>
        </w:rPr>
        <w:t>Floridi</w:t>
      </w:r>
      <w:proofErr w:type="spellEnd"/>
      <w:r w:rsidRPr="008D002A">
        <w:rPr>
          <w:rFonts w:asciiTheme="minorBidi" w:hAnsiTheme="minorBidi"/>
          <w:sz w:val="24"/>
          <w:szCs w:val="24"/>
        </w:rPr>
        <w:t xml:space="preserve"> et al., 2018; Deckard, 2023). Engagement with ethical frameworks such as the Menlo Report and professional guidance, including the BCS Code of Conduct, reinforced the responsibility of computing professionals to balance innovation with care, integrity, and public interest (Finn and Shilton, 2023; BCS, 2022). This ethical grounding informed my literature review and research proposal, ensuring that issues such as data protection, consent, and potential harm were embedded into the research process rather than treated as peripheral concerns.</w:t>
      </w:r>
    </w:p>
    <w:p w14:paraId="3DC6B801" w14:textId="77777777" w:rsidR="008D002A" w:rsidRPr="008D002A" w:rsidRDefault="008D002A" w:rsidP="008D002A">
      <w:pPr>
        <w:rPr>
          <w:rFonts w:asciiTheme="minorBidi" w:hAnsiTheme="minorBidi"/>
          <w:sz w:val="24"/>
          <w:szCs w:val="24"/>
        </w:rPr>
      </w:pPr>
      <w:r w:rsidRPr="008D002A">
        <w:rPr>
          <w:rFonts w:asciiTheme="minorBidi" w:hAnsiTheme="minorBidi"/>
          <w:sz w:val="24"/>
          <w:szCs w:val="24"/>
        </w:rPr>
        <w:t>The literature review and research proposal acted as integrative assessments, bringing together methodological, analytical, and ethical learning. Producing a critical literature review required evaluation of contrasting viewpoints, identification of research gaps, and assessment of methodological quality, aligning with expectations for postgraduate-level scholarship (Hart, 2018). Tutor feedback confirmed strong critical engagement and academic rigour, while also identifying areas for further development, such as clearer conceptual definition of technical terms and deeper cross-sector comparison. Preparing the research proposal presentation further strengthened my ability to communicate complex ideas clearly and coherently, particularly when justifying methodological choices and explaining qualitative findings within practical constraints. This enhanced both academic writing and professional communication skills, which are essential when presenting technical proposals to senior stakeholders.</w:t>
      </w:r>
    </w:p>
    <w:p w14:paraId="0B8DD73B" w14:textId="77777777" w:rsidR="008D002A" w:rsidRPr="008D002A" w:rsidRDefault="008D002A" w:rsidP="008D002A">
      <w:pPr>
        <w:rPr>
          <w:rFonts w:asciiTheme="minorBidi" w:hAnsiTheme="minorBidi"/>
          <w:sz w:val="24"/>
          <w:szCs w:val="24"/>
        </w:rPr>
      </w:pPr>
      <w:r w:rsidRPr="008D002A">
        <w:rPr>
          <w:rFonts w:asciiTheme="minorBidi" w:hAnsiTheme="minorBidi"/>
          <w:sz w:val="24"/>
          <w:szCs w:val="24"/>
        </w:rPr>
        <w:t>The module has had a direct and meaningful impact on my professional practice. As an IT Project Manager, I regularly engage with data, risk, and decision-making under uncertainty. Concepts such as validity, reliability, and generalisability have reshaped how I interpret reports and metrics, encouraging critical evaluation of whether findings genuinely reflect organisational reality or are constrained by data quality, design limitations, or contextual factors (Creswell and Creswell, 2023). The focus on project management and risk management aligned closely with my professional responsibilities, reinforcing the importance of structured planning, change control, and reflective evaluation when managing complex IT initiatives (PMI, 2021).</w:t>
      </w:r>
    </w:p>
    <w:p w14:paraId="5B86B63E" w14:textId="77777777" w:rsidR="008D002A" w:rsidRPr="008D002A" w:rsidRDefault="008D002A" w:rsidP="008D002A">
      <w:pPr>
        <w:rPr>
          <w:rFonts w:asciiTheme="minorBidi" w:hAnsiTheme="minorBidi"/>
          <w:sz w:val="24"/>
          <w:szCs w:val="24"/>
        </w:rPr>
      </w:pPr>
      <w:r w:rsidRPr="008D002A">
        <w:rPr>
          <w:rFonts w:asciiTheme="minorBidi" w:hAnsiTheme="minorBidi"/>
          <w:sz w:val="24"/>
          <w:szCs w:val="24"/>
        </w:rPr>
        <w:t xml:space="preserve">Critically reflecting on my development, a significant shift has been moving from a task-focused mindset towards a more analytical and reflective approach. Early in the </w:t>
      </w:r>
      <w:r w:rsidRPr="008D002A">
        <w:rPr>
          <w:rFonts w:asciiTheme="minorBidi" w:hAnsiTheme="minorBidi"/>
          <w:sz w:val="24"/>
          <w:szCs w:val="24"/>
        </w:rPr>
        <w:lastRenderedPageBreak/>
        <w:t>module, my focus was primarily on completing activities efficiently. As the module progressed, formative feedback, peer discussion, and reflective exercises encouraged deeper engagement with why particular approaches were appropriate and how they could be improved. This has increased my confidence in challenging assumptions, both my own and those of others, and in justifying decisions using evidence-based reasoning rather than experience alone.</w:t>
      </w:r>
    </w:p>
    <w:p w14:paraId="5A0A511F" w14:textId="77777777" w:rsidR="008D002A" w:rsidRPr="008D002A" w:rsidRDefault="008D002A" w:rsidP="008D002A">
      <w:pPr>
        <w:rPr>
          <w:rFonts w:asciiTheme="minorBidi" w:hAnsiTheme="minorBidi"/>
          <w:sz w:val="24"/>
          <w:szCs w:val="24"/>
        </w:rPr>
      </w:pPr>
      <w:r w:rsidRPr="008D002A">
        <w:rPr>
          <w:rFonts w:asciiTheme="minorBidi" w:hAnsiTheme="minorBidi"/>
          <w:sz w:val="24"/>
          <w:szCs w:val="24"/>
        </w:rPr>
        <w:t>In conclusion, this module has significantly enhanced my research capability, statistical literacy, and professional judgement. The integration of research methods, data analysis, ethics, and professional practice has provided a strong foundation for future academic work and has directly informed how I approach complex problems in my professional role. The reflective process itself has been central to consolidating this learning, enabling a clearer understanding of how academic development has reshaped both my thinking and practice. Going forward, I am better equipped to conduct responsible, evidence-based research and to apply these principles confidently within professional computing environments.</w:t>
      </w:r>
    </w:p>
    <w:p w14:paraId="58D701FB" w14:textId="7CBF123C" w:rsidR="008D002A" w:rsidRPr="008D002A" w:rsidRDefault="008D002A" w:rsidP="008D002A">
      <w:pPr>
        <w:rPr>
          <w:rFonts w:asciiTheme="minorBidi" w:hAnsiTheme="minorBidi"/>
          <w:sz w:val="24"/>
          <w:szCs w:val="24"/>
        </w:rPr>
      </w:pPr>
    </w:p>
    <w:p w14:paraId="4B73CD5B" w14:textId="77777777" w:rsidR="008D002A" w:rsidRPr="008D002A" w:rsidRDefault="008D002A" w:rsidP="008D002A">
      <w:pPr>
        <w:rPr>
          <w:rFonts w:asciiTheme="minorBidi" w:hAnsiTheme="minorBidi"/>
          <w:b/>
          <w:bCs/>
          <w:sz w:val="24"/>
          <w:szCs w:val="24"/>
        </w:rPr>
      </w:pPr>
      <w:r w:rsidRPr="008D002A">
        <w:rPr>
          <w:rFonts w:asciiTheme="minorBidi" w:hAnsiTheme="minorBidi"/>
          <w:b/>
          <w:bCs/>
          <w:sz w:val="24"/>
          <w:szCs w:val="24"/>
        </w:rPr>
        <w:t>References</w:t>
      </w:r>
    </w:p>
    <w:p w14:paraId="3499E75D" w14:textId="77777777" w:rsidR="008D002A" w:rsidRPr="008D002A" w:rsidRDefault="008D002A" w:rsidP="008D002A">
      <w:pPr>
        <w:pStyle w:val="ListParagraph"/>
        <w:numPr>
          <w:ilvl w:val="0"/>
          <w:numId w:val="1"/>
        </w:numPr>
        <w:rPr>
          <w:rFonts w:asciiTheme="minorBidi" w:hAnsiTheme="minorBidi"/>
          <w:sz w:val="24"/>
          <w:szCs w:val="24"/>
        </w:rPr>
      </w:pPr>
      <w:r w:rsidRPr="008D002A">
        <w:rPr>
          <w:rFonts w:asciiTheme="minorBidi" w:hAnsiTheme="minorBidi"/>
          <w:sz w:val="24"/>
          <w:szCs w:val="24"/>
        </w:rPr>
        <w:t xml:space="preserve">Andersen, H. and Hepburn, B. (2020) ‘Scientific Method’, in Zalta, E. (ed.) </w:t>
      </w:r>
      <w:r w:rsidRPr="008D002A">
        <w:rPr>
          <w:rFonts w:asciiTheme="minorBidi" w:hAnsiTheme="minorBidi"/>
          <w:i/>
          <w:iCs/>
          <w:sz w:val="24"/>
          <w:szCs w:val="24"/>
        </w:rPr>
        <w:t xml:space="preserve">The Stanford </w:t>
      </w:r>
      <w:proofErr w:type="spellStart"/>
      <w:r w:rsidRPr="008D002A">
        <w:rPr>
          <w:rFonts w:asciiTheme="minorBidi" w:hAnsiTheme="minorBidi"/>
          <w:i/>
          <w:iCs/>
          <w:sz w:val="24"/>
          <w:szCs w:val="24"/>
        </w:rPr>
        <w:t>Encyclopedia</w:t>
      </w:r>
      <w:proofErr w:type="spellEnd"/>
      <w:r w:rsidRPr="008D002A">
        <w:rPr>
          <w:rFonts w:asciiTheme="minorBidi" w:hAnsiTheme="minorBidi"/>
          <w:i/>
          <w:iCs/>
          <w:sz w:val="24"/>
          <w:szCs w:val="24"/>
        </w:rPr>
        <w:t xml:space="preserve"> of Philosophy</w:t>
      </w:r>
      <w:r w:rsidRPr="008D002A">
        <w:rPr>
          <w:rFonts w:asciiTheme="minorBidi" w:hAnsiTheme="minorBidi"/>
          <w:sz w:val="24"/>
          <w:szCs w:val="24"/>
        </w:rPr>
        <w:t>. Stanford: Stanford University.</w:t>
      </w:r>
    </w:p>
    <w:p w14:paraId="0F4DA352" w14:textId="77777777" w:rsidR="008D002A" w:rsidRPr="008D002A" w:rsidRDefault="008D002A" w:rsidP="008D002A">
      <w:pPr>
        <w:pStyle w:val="ListParagraph"/>
        <w:numPr>
          <w:ilvl w:val="0"/>
          <w:numId w:val="1"/>
        </w:numPr>
        <w:rPr>
          <w:rFonts w:asciiTheme="minorBidi" w:hAnsiTheme="minorBidi"/>
          <w:sz w:val="24"/>
          <w:szCs w:val="24"/>
        </w:rPr>
      </w:pPr>
      <w:r w:rsidRPr="008D002A">
        <w:rPr>
          <w:rFonts w:asciiTheme="minorBidi" w:hAnsiTheme="minorBidi"/>
          <w:sz w:val="24"/>
          <w:szCs w:val="24"/>
        </w:rPr>
        <w:t xml:space="preserve">BCS (2022) </w:t>
      </w:r>
      <w:r w:rsidRPr="008D002A">
        <w:rPr>
          <w:rFonts w:asciiTheme="minorBidi" w:hAnsiTheme="minorBidi"/>
          <w:i/>
          <w:iCs/>
          <w:sz w:val="24"/>
          <w:szCs w:val="24"/>
        </w:rPr>
        <w:t>BCS Code of Conduct</w:t>
      </w:r>
      <w:r w:rsidRPr="008D002A">
        <w:rPr>
          <w:rFonts w:asciiTheme="minorBidi" w:hAnsiTheme="minorBidi"/>
          <w:sz w:val="24"/>
          <w:szCs w:val="24"/>
        </w:rPr>
        <w:t>. London: British Computer Society.</w:t>
      </w:r>
    </w:p>
    <w:p w14:paraId="307F2DAC" w14:textId="77777777" w:rsidR="008D002A" w:rsidRPr="008D002A" w:rsidRDefault="008D002A" w:rsidP="008D002A">
      <w:pPr>
        <w:pStyle w:val="ListParagraph"/>
        <w:numPr>
          <w:ilvl w:val="0"/>
          <w:numId w:val="1"/>
        </w:numPr>
        <w:rPr>
          <w:rFonts w:asciiTheme="minorBidi" w:hAnsiTheme="minorBidi"/>
          <w:sz w:val="24"/>
          <w:szCs w:val="24"/>
        </w:rPr>
      </w:pPr>
      <w:r w:rsidRPr="008D002A">
        <w:rPr>
          <w:rFonts w:asciiTheme="minorBidi" w:hAnsiTheme="minorBidi"/>
          <w:sz w:val="24"/>
          <w:szCs w:val="24"/>
        </w:rPr>
        <w:t xml:space="preserve">Creswell, J.W. and Creswell, J.D. (2023) </w:t>
      </w:r>
      <w:r w:rsidRPr="008D002A">
        <w:rPr>
          <w:rFonts w:asciiTheme="minorBidi" w:hAnsiTheme="minorBidi"/>
          <w:i/>
          <w:iCs/>
          <w:sz w:val="24"/>
          <w:szCs w:val="24"/>
        </w:rPr>
        <w:t>Research Design: Qualitative, Quantitative, and Mixed Methods Approaches</w:t>
      </w:r>
      <w:r w:rsidRPr="008D002A">
        <w:rPr>
          <w:rFonts w:asciiTheme="minorBidi" w:hAnsiTheme="minorBidi"/>
          <w:sz w:val="24"/>
          <w:szCs w:val="24"/>
        </w:rPr>
        <w:t xml:space="preserve">. 6th </w:t>
      </w:r>
      <w:proofErr w:type="spellStart"/>
      <w:r w:rsidRPr="008D002A">
        <w:rPr>
          <w:rFonts w:asciiTheme="minorBidi" w:hAnsiTheme="minorBidi"/>
          <w:sz w:val="24"/>
          <w:szCs w:val="24"/>
        </w:rPr>
        <w:t>edn</w:t>
      </w:r>
      <w:proofErr w:type="spellEnd"/>
      <w:r w:rsidRPr="008D002A">
        <w:rPr>
          <w:rFonts w:asciiTheme="minorBidi" w:hAnsiTheme="minorBidi"/>
          <w:sz w:val="24"/>
          <w:szCs w:val="24"/>
        </w:rPr>
        <w:t>. London: Sage.</w:t>
      </w:r>
    </w:p>
    <w:p w14:paraId="1A07F1C2" w14:textId="77777777" w:rsidR="008D002A" w:rsidRPr="008D002A" w:rsidRDefault="008D002A" w:rsidP="008D002A">
      <w:pPr>
        <w:pStyle w:val="ListParagraph"/>
        <w:numPr>
          <w:ilvl w:val="0"/>
          <w:numId w:val="1"/>
        </w:numPr>
        <w:rPr>
          <w:rFonts w:asciiTheme="minorBidi" w:hAnsiTheme="minorBidi"/>
          <w:sz w:val="24"/>
          <w:szCs w:val="24"/>
        </w:rPr>
      </w:pPr>
      <w:r w:rsidRPr="008D002A">
        <w:rPr>
          <w:rFonts w:asciiTheme="minorBidi" w:hAnsiTheme="minorBidi"/>
          <w:sz w:val="24"/>
          <w:szCs w:val="24"/>
        </w:rPr>
        <w:t xml:space="preserve">Deckard, R. (2023) </w:t>
      </w:r>
      <w:r w:rsidRPr="008D002A">
        <w:rPr>
          <w:rFonts w:asciiTheme="minorBidi" w:hAnsiTheme="minorBidi"/>
          <w:i/>
          <w:iCs/>
          <w:sz w:val="24"/>
          <w:szCs w:val="24"/>
        </w:rPr>
        <w:t>What are Ethics in AI</w:t>
      </w:r>
      <w:r w:rsidRPr="008D002A">
        <w:rPr>
          <w:rFonts w:asciiTheme="minorBidi" w:hAnsiTheme="minorBidi"/>
          <w:sz w:val="24"/>
          <w:szCs w:val="24"/>
        </w:rPr>
        <w:t>. London: Institute of AI Ethics.</w:t>
      </w:r>
    </w:p>
    <w:p w14:paraId="3DD263E3" w14:textId="77777777" w:rsidR="008D002A" w:rsidRPr="008D002A" w:rsidRDefault="008D002A" w:rsidP="008D002A">
      <w:pPr>
        <w:pStyle w:val="ListParagraph"/>
        <w:numPr>
          <w:ilvl w:val="0"/>
          <w:numId w:val="1"/>
        </w:numPr>
        <w:rPr>
          <w:rFonts w:asciiTheme="minorBidi" w:hAnsiTheme="minorBidi"/>
          <w:sz w:val="24"/>
          <w:szCs w:val="24"/>
        </w:rPr>
      </w:pPr>
      <w:r w:rsidRPr="008D002A">
        <w:rPr>
          <w:rFonts w:asciiTheme="minorBidi" w:hAnsiTheme="minorBidi"/>
          <w:sz w:val="24"/>
          <w:szCs w:val="24"/>
        </w:rPr>
        <w:t xml:space="preserve">Field, A. (2018) </w:t>
      </w:r>
      <w:r w:rsidRPr="008D002A">
        <w:rPr>
          <w:rFonts w:asciiTheme="minorBidi" w:hAnsiTheme="minorBidi"/>
          <w:i/>
          <w:iCs/>
          <w:sz w:val="24"/>
          <w:szCs w:val="24"/>
        </w:rPr>
        <w:t>Discovering Statistics Using IBM SPSS Statistics</w:t>
      </w:r>
      <w:r w:rsidRPr="008D002A">
        <w:rPr>
          <w:rFonts w:asciiTheme="minorBidi" w:hAnsiTheme="minorBidi"/>
          <w:sz w:val="24"/>
          <w:szCs w:val="24"/>
        </w:rPr>
        <w:t xml:space="preserve">. 5th </w:t>
      </w:r>
      <w:proofErr w:type="spellStart"/>
      <w:r w:rsidRPr="008D002A">
        <w:rPr>
          <w:rFonts w:asciiTheme="minorBidi" w:hAnsiTheme="minorBidi"/>
          <w:sz w:val="24"/>
          <w:szCs w:val="24"/>
        </w:rPr>
        <w:t>edn</w:t>
      </w:r>
      <w:proofErr w:type="spellEnd"/>
      <w:r w:rsidRPr="008D002A">
        <w:rPr>
          <w:rFonts w:asciiTheme="minorBidi" w:hAnsiTheme="minorBidi"/>
          <w:sz w:val="24"/>
          <w:szCs w:val="24"/>
        </w:rPr>
        <w:t>. London: Sage.</w:t>
      </w:r>
    </w:p>
    <w:p w14:paraId="4B4ECF16" w14:textId="05303B89" w:rsidR="008D002A" w:rsidRPr="008D002A" w:rsidRDefault="008D002A" w:rsidP="008D002A">
      <w:pPr>
        <w:pStyle w:val="ListParagraph"/>
        <w:numPr>
          <w:ilvl w:val="0"/>
          <w:numId w:val="1"/>
        </w:numPr>
        <w:rPr>
          <w:rFonts w:asciiTheme="minorBidi" w:hAnsiTheme="minorBidi"/>
          <w:sz w:val="24"/>
          <w:szCs w:val="24"/>
        </w:rPr>
      </w:pPr>
      <w:r w:rsidRPr="008D002A">
        <w:rPr>
          <w:rFonts w:asciiTheme="minorBidi" w:hAnsiTheme="minorBidi"/>
          <w:sz w:val="24"/>
          <w:szCs w:val="24"/>
        </w:rPr>
        <w:t xml:space="preserve">Finn, M. and Shilton, K. (2023) ‘Ethics governance development: The case of the Menlo Report’, </w:t>
      </w:r>
      <w:r w:rsidRPr="008D002A">
        <w:rPr>
          <w:rFonts w:asciiTheme="minorBidi" w:hAnsiTheme="minorBidi"/>
          <w:i/>
          <w:iCs/>
          <w:sz w:val="24"/>
          <w:szCs w:val="24"/>
        </w:rPr>
        <w:t>Social Studies of Science</w:t>
      </w:r>
      <w:r w:rsidRPr="008D002A">
        <w:rPr>
          <w:rFonts w:asciiTheme="minorBidi" w:hAnsiTheme="minorBidi"/>
          <w:sz w:val="24"/>
          <w:szCs w:val="24"/>
        </w:rPr>
        <w:t>, 53(3), pp. 315</w:t>
      </w:r>
      <w:r w:rsidR="0079511B">
        <w:rPr>
          <w:rFonts w:asciiTheme="minorBidi" w:hAnsiTheme="minorBidi"/>
          <w:sz w:val="24"/>
          <w:szCs w:val="24"/>
        </w:rPr>
        <w:t>-</w:t>
      </w:r>
      <w:r w:rsidRPr="008D002A">
        <w:rPr>
          <w:rFonts w:asciiTheme="minorBidi" w:hAnsiTheme="minorBidi"/>
          <w:sz w:val="24"/>
          <w:szCs w:val="24"/>
        </w:rPr>
        <w:t>340.</w:t>
      </w:r>
    </w:p>
    <w:p w14:paraId="296B4DBE" w14:textId="1A7D0BDC" w:rsidR="008D002A" w:rsidRPr="008D002A" w:rsidRDefault="008D002A" w:rsidP="008D002A">
      <w:pPr>
        <w:pStyle w:val="ListParagraph"/>
        <w:numPr>
          <w:ilvl w:val="0"/>
          <w:numId w:val="1"/>
        </w:numPr>
        <w:rPr>
          <w:rFonts w:asciiTheme="minorBidi" w:hAnsiTheme="minorBidi"/>
          <w:sz w:val="24"/>
          <w:szCs w:val="24"/>
        </w:rPr>
      </w:pPr>
      <w:proofErr w:type="spellStart"/>
      <w:r w:rsidRPr="008D002A">
        <w:rPr>
          <w:rFonts w:asciiTheme="minorBidi" w:hAnsiTheme="minorBidi"/>
          <w:sz w:val="24"/>
          <w:szCs w:val="24"/>
        </w:rPr>
        <w:t>Floridi</w:t>
      </w:r>
      <w:proofErr w:type="spellEnd"/>
      <w:r w:rsidRPr="008D002A">
        <w:rPr>
          <w:rFonts w:asciiTheme="minorBidi" w:hAnsiTheme="minorBidi"/>
          <w:sz w:val="24"/>
          <w:szCs w:val="24"/>
        </w:rPr>
        <w:t xml:space="preserve">, L., Cowls, J., </w:t>
      </w:r>
      <w:proofErr w:type="spellStart"/>
      <w:r w:rsidRPr="008D002A">
        <w:rPr>
          <w:rFonts w:asciiTheme="minorBidi" w:hAnsiTheme="minorBidi"/>
          <w:sz w:val="24"/>
          <w:szCs w:val="24"/>
        </w:rPr>
        <w:t>Beltrametti</w:t>
      </w:r>
      <w:proofErr w:type="spellEnd"/>
      <w:r w:rsidRPr="008D002A">
        <w:rPr>
          <w:rFonts w:asciiTheme="minorBidi" w:hAnsiTheme="minorBidi"/>
          <w:sz w:val="24"/>
          <w:szCs w:val="24"/>
        </w:rPr>
        <w:t xml:space="preserve">, M. et al. (2018) ‘AI4People: An ethical framework for a good AI society’, </w:t>
      </w:r>
      <w:r w:rsidRPr="008D002A">
        <w:rPr>
          <w:rFonts w:asciiTheme="minorBidi" w:hAnsiTheme="minorBidi"/>
          <w:i/>
          <w:iCs/>
          <w:sz w:val="24"/>
          <w:szCs w:val="24"/>
        </w:rPr>
        <w:t>Minds and Machines</w:t>
      </w:r>
      <w:r w:rsidRPr="008D002A">
        <w:rPr>
          <w:rFonts w:asciiTheme="minorBidi" w:hAnsiTheme="minorBidi"/>
          <w:sz w:val="24"/>
          <w:szCs w:val="24"/>
        </w:rPr>
        <w:t>, 28(4), pp. 689</w:t>
      </w:r>
      <w:r w:rsidR="0079511B">
        <w:rPr>
          <w:rFonts w:asciiTheme="minorBidi" w:hAnsiTheme="minorBidi"/>
          <w:sz w:val="24"/>
          <w:szCs w:val="24"/>
        </w:rPr>
        <w:t>-</w:t>
      </w:r>
      <w:r w:rsidRPr="008D002A">
        <w:rPr>
          <w:rFonts w:asciiTheme="minorBidi" w:hAnsiTheme="minorBidi"/>
          <w:sz w:val="24"/>
          <w:szCs w:val="24"/>
        </w:rPr>
        <w:t>707.</w:t>
      </w:r>
    </w:p>
    <w:p w14:paraId="14924832" w14:textId="77777777" w:rsidR="008D002A" w:rsidRPr="008D002A" w:rsidRDefault="008D002A" w:rsidP="008D002A">
      <w:pPr>
        <w:pStyle w:val="ListParagraph"/>
        <w:numPr>
          <w:ilvl w:val="0"/>
          <w:numId w:val="1"/>
        </w:numPr>
        <w:rPr>
          <w:rFonts w:asciiTheme="minorBidi" w:hAnsiTheme="minorBidi"/>
          <w:sz w:val="24"/>
          <w:szCs w:val="24"/>
        </w:rPr>
      </w:pPr>
      <w:r w:rsidRPr="008D002A">
        <w:rPr>
          <w:rFonts w:asciiTheme="minorBidi" w:hAnsiTheme="minorBidi"/>
          <w:sz w:val="24"/>
          <w:szCs w:val="24"/>
        </w:rPr>
        <w:t xml:space="preserve">Hart, C. (2018) </w:t>
      </w:r>
      <w:r w:rsidRPr="008D002A">
        <w:rPr>
          <w:rFonts w:asciiTheme="minorBidi" w:hAnsiTheme="minorBidi"/>
          <w:i/>
          <w:iCs/>
          <w:sz w:val="24"/>
          <w:szCs w:val="24"/>
        </w:rPr>
        <w:t>Doing a Literature Review</w:t>
      </w:r>
      <w:r w:rsidRPr="008D002A">
        <w:rPr>
          <w:rFonts w:asciiTheme="minorBidi" w:hAnsiTheme="minorBidi"/>
          <w:sz w:val="24"/>
          <w:szCs w:val="24"/>
        </w:rPr>
        <w:t xml:space="preserve">. 2nd </w:t>
      </w:r>
      <w:proofErr w:type="spellStart"/>
      <w:r w:rsidRPr="008D002A">
        <w:rPr>
          <w:rFonts w:asciiTheme="minorBidi" w:hAnsiTheme="minorBidi"/>
          <w:sz w:val="24"/>
          <w:szCs w:val="24"/>
        </w:rPr>
        <w:t>edn</w:t>
      </w:r>
      <w:proofErr w:type="spellEnd"/>
      <w:r w:rsidRPr="008D002A">
        <w:rPr>
          <w:rFonts w:asciiTheme="minorBidi" w:hAnsiTheme="minorBidi"/>
          <w:sz w:val="24"/>
          <w:szCs w:val="24"/>
        </w:rPr>
        <w:t>. London: Sage.</w:t>
      </w:r>
    </w:p>
    <w:p w14:paraId="4AE8554B" w14:textId="77777777" w:rsidR="008D002A" w:rsidRPr="008D002A" w:rsidRDefault="008D002A" w:rsidP="008D002A">
      <w:pPr>
        <w:pStyle w:val="ListParagraph"/>
        <w:numPr>
          <w:ilvl w:val="0"/>
          <w:numId w:val="1"/>
        </w:numPr>
        <w:rPr>
          <w:rFonts w:asciiTheme="minorBidi" w:hAnsiTheme="minorBidi"/>
          <w:sz w:val="24"/>
          <w:szCs w:val="24"/>
        </w:rPr>
      </w:pPr>
      <w:r w:rsidRPr="008D002A">
        <w:rPr>
          <w:rFonts w:asciiTheme="minorBidi" w:hAnsiTheme="minorBidi"/>
          <w:sz w:val="24"/>
          <w:szCs w:val="24"/>
        </w:rPr>
        <w:t xml:space="preserve">PMI (2021) </w:t>
      </w:r>
      <w:r w:rsidRPr="008D002A">
        <w:rPr>
          <w:rFonts w:asciiTheme="minorBidi" w:hAnsiTheme="minorBidi"/>
          <w:i/>
          <w:iCs/>
          <w:sz w:val="24"/>
          <w:szCs w:val="24"/>
        </w:rPr>
        <w:t>A Guide to the Project Management Body of Knowledge (PMBOK® Guide)</w:t>
      </w:r>
      <w:r w:rsidRPr="008D002A">
        <w:rPr>
          <w:rFonts w:asciiTheme="minorBidi" w:hAnsiTheme="minorBidi"/>
          <w:sz w:val="24"/>
          <w:szCs w:val="24"/>
        </w:rPr>
        <w:t xml:space="preserve">. 7th </w:t>
      </w:r>
      <w:proofErr w:type="spellStart"/>
      <w:r w:rsidRPr="008D002A">
        <w:rPr>
          <w:rFonts w:asciiTheme="minorBidi" w:hAnsiTheme="minorBidi"/>
          <w:sz w:val="24"/>
          <w:szCs w:val="24"/>
        </w:rPr>
        <w:t>edn</w:t>
      </w:r>
      <w:proofErr w:type="spellEnd"/>
      <w:r w:rsidRPr="008D002A">
        <w:rPr>
          <w:rFonts w:asciiTheme="minorBidi" w:hAnsiTheme="minorBidi"/>
          <w:sz w:val="24"/>
          <w:szCs w:val="24"/>
        </w:rPr>
        <w:t>. Pennsylvania: Project Management Institute.</w:t>
      </w:r>
    </w:p>
    <w:p w14:paraId="4E1D01C0" w14:textId="77777777" w:rsidR="008D002A" w:rsidRPr="008D002A" w:rsidRDefault="008D002A" w:rsidP="008D002A">
      <w:pPr>
        <w:pStyle w:val="ListParagraph"/>
        <w:numPr>
          <w:ilvl w:val="0"/>
          <w:numId w:val="1"/>
        </w:numPr>
        <w:rPr>
          <w:rFonts w:asciiTheme="minorBidi" w:hAnsiTheme="minorBidi"/>
          <w:sz w:val="24"/>
          <w:szCs w:val="24"/>
        </w:rPr>
      </w:pPr>
      <w:r w:rsidRPr="008D002A">
        <w:rPr>
          <w:rFonts w:asciiTheme="minorBidi" w:hAnsiTheme="minorBidi"/>
          <w:sz w:val="24"/>
          <w:szCs w:val="24"/>
        </w:rPr>
        <w:t xml:space="preserve">Purdue University (2023) </w:t>
      </w:r>
      <w:r w:rsidRPr="008D002A">
        <w:rPr>
          <w:rFonts w:asciiTheme="minorBidi" w:hAnsiTheme="minorBidi"/>
          <w:i/>
          <w:iCs/>
          <w:sz w:val="24"/>
          <w:szCs w:val="24"/>
        </w:rPr>
        <w:t>Inferential Statistics</w:t>
      </w:r>
      <w:r w:rsidRPr="008D002A">
        <w:rPr>
          <w:rFonts w:asciiTheme="minorBidi" w:hAnsiTheme="minorBidi"/>
          <w:sz w:val="24"/>
          <w:szCs w:val="24"/>
        </w:rPr>
        <w:t>. Purdue Online Writing Lab.</w:t>
      </w:r>
    </w:p>
    <w:p w14:paraId="49D904FB" w14:textId="77777777" w:rsidR="008D002A" w:rsidRPr="008D002A" w:rsidRDefault="008D002A" w:rsidP="008D002A">
      <w:pPr>
        <w:pStyle w:val="ListParagraph"/>
        <w:numPr>
          <w:ilvl w:val="0"/>
          <w:numId w:val="1"/>
        </w:numPr>
        <w:rPr>
          <w:rFonts w:asciiTheme="minorBidi" w:hAnsiTheme="minorBidi"/>
          <w:sz w:val="24"/>
          <w:szCs w:val="24"/>
        </w:rPr>
      </w:pPr>
      <w:r w:rsidRPr="008D002A">
        <w:rPr>
          <w:rFonts w:asciiTheme="minorBidi" w:hAnsiTheme="minorBidi"/>
          <w:sz w:val="24"/>
          <w:szCs w:val="24"/>
        </w:rPr>
        <w:t xml:space="preserve">Saunders, M., Lewis, P. and Thornhill, A. (2023) </w:t>
      </w:r>
      <w:r w:rsidRPr="008D002A">
        <w:rPr>
          <w:rFonts w:asciiTheme="minorBidi" w:hAnsiTheme="minorBidi"/>
          <w:i/>
          <w:iCs/>
          <w:sz w:val="24"/>
          <w:szCs w:val="24"/>
        </w:rPr>
        <w:t>Research Methods for Business Students</w:t>
      </w:r>
      <w:r w:rsidRPr="008D002A">
        <w:rPr>
          <w:rFonts w:asciiTheme="minorBidi" w:hAnsiTheme="minorBidi"/>
          <w:sz w:val="24"/>
          <w:szCs w:val="24"/>
        </w:rPr>
        <w:t xml:space="preserve">. 9th </w:t>
      </w:r>
      <w:proofErr w:type="spellStart"/>
      <w:r w:rsidRPr="008D002A">
        <w:rPr>
          <w:rFonts w:asciiTheme="minorBidi" w:hAnsiTheme="minorBidi"/>
          <w:sz w:val="24"/>
          <w:szCs w:val="24"/>
        </w:rPr>
        <w:t>edn</w:t>
      </w:r>
      <w:proofErr w:type="spellEnd"/>
      <w:r w:rsidRPr="008D002A">
        <w:rPr>
          <w:rFonts w:asciiTheme="minorBidi" w:hAnsiTheme="minorBidi"/>
          <w:sz w:val="24"/>
          <w:szCs w:val="24"/>
        </w:rPr>
        <w:t>. Harlow: Pearson.</w:t>
      </w:r>
    </w:p>
    <w:p w14:paraId="69F17716" w14:textId="77777777" w:rsidR="006C3575" w:rsidRPr="008D002A" w:rsidRDefault="006C3575">
      <w:pPr>
        <w:rPr>
          <w:rFonts w:asciiTheme="minorBidi" w:hAnsiTheme="minorBidi"/>
          <w:sz w:val="24"/>
          <w:szCs w:val="24"/>
        </w:rPr>
      </w:pPr>
    </w:p>
    <w:sectPr w:rsidR="006C3575" w:rsidRPr="008D00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E4019"/>
    <w:multiLevelType w:val="hybridMultilevel"/>
    <w:tmpl w:val="5B3EB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8729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2A"/>
    <w:rsid w:val="001B2CB6"/>
    <w:rsid w:val="0025726F"/>
    <w:rsid w:val="00276A1B"/>
    <w:rsid w:val="006C3575"/>
    <w:rsid w:val="0079511B"/>
    <w:rsid w:val="008D002A"/>
    <w:rsid w:val="009A4979"/>
    <w:rsid w:val="00C557B7"/>
    <w:rsid w:val="00F813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0D5A"/>
  <w15:chartTrackingRefBased/>
  <w15:docId w15:val="{DC082A16-8B3C-4450-B01B-04FA2B6BA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0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0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0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0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0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0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0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0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0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2A"/>
    <w:rPr>
      <w:rFonts w:eastAsiaTheme="majorEastAsia" w:cstheme="majorBidi"/>
      <w:color w:val="272727" w:themeColor="text1" w:themeTint="D8"/>
    </w:rPr>
  </w:style>
  <w:style w:type="paragraph" w:styleId="Title">
    <w:name w:val="Title"/>
    <w:basedOn w:val="Normal"/>
    <w:next w:val="Normal"/>
    <w:link w:val="TitleChar"/>
    <w:uiPriority w:val="10"/>
    <w:qFormat/>
    <w:rsid w:val="008D0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2A"/>
    <w:pPr>
      <w:spacing w:before="160"/>
      <w:jc w:val="center"/>
    </w:pPr>
    <w:rPr>
      <w:i/>
      <w:iCs/>
      <w:color w:val="404040" w:themeColor="text1" w:themeTint="BF"/>
    </w:rPr>
  </w:style>
  <w:style w:type="character" w:customStyle="1" w:styleId="QuoteChar">
    <w:name w:val="Quote Char"/>
    <w:basedOn w:val="DefaultParagraphFont"/>
    <w:link w:val="Quote"/>
    <w:uiPriority w:val="29"/>
    <w:rsid w:val="008D002A"/>
    <w:rPr>
      <w:i/>
      <w:iCs/>
      <w:color w:val="404040" w:themeColor="text1" w:themeTint="BF"/>
    </w:rPr>
  </w:style>
  <w:style w:type="paragraph" w:styleId="ListParagraph">
    <w:name w:val="List Paragraph"/>
    <w:basedOn w:val="Normal"/>
    <w:uiPriority w:val="34"/>
    <w:qFormat/>
    <w:rsid w:val="008D002A"/>
    <w:pPr>
      <w:ind w:left="720"/>
      <w:contextualSpacing/>
    </w:pPr>
  </w:style>
  <w:style w:type="character" w:styleId="IntenseEmphasis">
    <w:name w:val="Intense Emphasis"/>
    <w:basedOn w:val="DefaultParagraphFont"/>
    <w:uiPriority w:val="21"/>
    <w:qFormat/>
    <w:rsid w:val="008D002A"/>
    <w:rPr>
      <w:i/>
      <w:iCs/>
      <w:color w:val="2F5496" w:themeColor="accent1" w:themeShade="BF"/>
    </w:rPr>
  </w:style>
  <w:style w:type="paragraph" w:styleId="IntenseQuote">
    <w:name w:val="Intense Quote"/>
    <w:basedOn w:val="Normal"/>
    <w:next w:val="Normal"/>
    <w:link w:val="IntenseQuoteChar"/>
    <w:uiPriority w:val="30"/>
    <w:qFormat/>
    <w:rsid w:val="008D00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02A"/>
    <w:rPr>
      <w:i/>
      <w:iCs/>
      <w:color w:val="2F5496" w:themeColor="accent1" w:themeShade="BF"/>
    </w:rPr>
  </w:style>
  <w:style w:type="character" w:styleId="IntenseReference">
    <w:name w:val="Intense Reference"/>
    <w:basedOn w:val="DefaultParagraphFont"/>
    <w:uiPriority w:val="32"/>
    <w:qFormat/>
    <w:rsid w:val="008D002A"/>
    <w:rPr>
      <w:b/>
      <w:bCs/>
      <w:smallCaps/>
      <w:color w:val="2F5496" w:themeColor="accent1" w:themeShade="BF"/>
      <w:spacing w:val="5"/>
    </w:rPr>
  </w:style>
  <w:style w:type="character" w:styleId="Hyperlink">
    <w:name w:val="Hyperlink"/>
    <w:basedOn w:val="DefaultParagraphFont"/>
    <w:uiPriority w:val="99"/>
    <w:unhideWhenUsed/>
    <w:rsid w:val="008D002A"/>
    <w:rPr>
      <w:color w:val="0563C1" w:themeColor="hyperlink"/>
      <w:u w:val="single"/>
    </w:rPr>
  </w:style>
  <w:style w:type="character" w:styleId="FollowedHyperlink">
    <w:name w:val="FollowedHyperlink"/>
    <w:basedOn w:val="DefaultParagraphFont"/>
    <w:uiPriority w:val="99"/>
    <w:semiHidden/>
    <w:unhideWhenUsed/>
    <w:rsid w:val="007951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hussein92.github.io/MAHussein92/university/journal/RMPP-Journal.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1382</Words>
  <Characters>7880</Characters>
  <Application>Microsoft Office Word</Application>
  <DocSecurity>0</DocSecurity>
  <Lines>65</Lines>
  <Paragraphs>18</Paragraphs>
  <ScaleCrop>false</ScaleCrop>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Mustafa</dc:creator>
  <cp:keywords/>
  <dc:description/>
  <cp:lastModifiedBy>Hussein, Mustafa</cp:lastModifiedBy>
  <cp:revision>2</cp:revision>
  <dcterms:created xsi:type="dcterms:W3CDTF">2026-01-21T21:58:00Z</dcterms:created>
  <dcterms:modified xsi:type="dcterms:W3CDTF">2026-01-21T22:12:00Z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d6d6c86d-13c9-4e63-b4c7-a54bbba14977</vt:lpwstr>
  </property>
</Properties>
</file>