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49C39" w14:textId="5DF4C045" w:rsidR="00931349" w:rsidRPr="00913C51" w:rsidRDefault="00931349" w:rsidP="00931349">
      <w:pPr>
        <w:rPr>
          <w:b/>
          <w:bCs/>
        </w:rPr>
      </w:pPr>
      <w:r w:rsidRPr="00913C51">
        <w:rPr>
          <w:b/>
          <w:bCs/>
        </w:rPr>
        <w:t xml:space="preserve">Peer Response – </w:t>
      </w:r>
      <w:r>
        <w:rPr>
          <w:b/>
          <w:bCs/>
        </w:rPr>
        <w:t>David</w:t>
      </w:r>
    </w:p>
    <w:p w14:paraId="1F8C8FD4" w14:textId="77777777" w:rsidR="00931349" w:rsidRDefault="00931349" w:rsidP="00C874FE"/>
    <w:p w14:paraId="6C1E4BBD" w14:textId="1CC3D344" w:rsidR="006C3575" w:rsidRDefault="00C874FE" w:rsidP="00C874FE">
      <w:r w:rsidRPr="00C874FE">
        <w:t>David, your analysis of the “Malware” case is both insightful and well structured. You clearly connect Rogue Services’ actions to serious violations of the ACM Code of Ethics (2018), particularly the duties to avoid harm, be honest and trustworthy, and respect privacy. By continuing to host clients who distribute ransomware and spam, Rogue demonstrates a disregard for professional responsibility and the wider societal impact of unethical computing.</w:t>
      </w:r>
      <w:r w:rsidRPr="00C874FE">
        <w:br/>
      </w:r>
      <w:r w:rsidRPr="00C874FE">
        <w:br/>
        <w:t xml:space="preserve">I also agree with your emphasis on the legal dimension, including the UK Computer Misuse Act (1990) and the General Data Protection Regulation (GDPR, 2018). These frameworks reinforce that ethical computing is not </w:t>
      </w:r>
      <w:proofErr w:type="gramStart"/>
      <w:r w:rsidRPr="00C874FE">
        <w:t>voluntary</w:t>
      </w:r>
      <w:proofErr w:type="gramEnd"/>
      <w:r w:rsidRPr="00C874FE">
        <w:t xml:space="preserve"> but a professional obligation underpinned by law. Your point on inductive reasoning is particularly strong, as it highlights an industry-wide problem where hosting providers prioritise profit over accountability (Broadhurst et al., 2020).</w:t>
      </w:r>
      <w:r w:rsidRPr="00C874FE">
        <w:br/>
      </w:r>
      <w:r w:rsidRPr="00C874FE">
        <w:br/>
        <w:t xml:space="preserve">Furthermore, the British Computer Society’s Code of Conduct (BCS, 2023) requires professionals to act in the public interest, which Rogue has clearly failed to uphold. Pollini (2022) emphasises that such ethical neglect contributes to a culture of weak self-regulation in computing, where profit motives outweigh societal welfare. Likewise, </w:t>
      </w:r>
      <w:proofErr w:type="spellStart"/>
      <w:r w:rsidRPr="00C874FE">
        <w:t>Spinellis</w:t>
      </w:r>
      <w:proofErr w:type="spellEnd"/>
      <w:r w:rsidRPr="00C874FE">
        <w:t xml:space="preserve"> (2019) stresses that cybersecurity ethics must be embedded throughout the software lifecycle to prevent harm.</w:t>
      </w:r>
      <w:r w:rsidRPr="00C874FE">
        <w:br/>
      </w:r>
      <w:r w:rsidRPr="00C874FE">
        <w:br/>
        <w:t xml:space="preserve">One possible extension could be to discuss stakeholder responsibility beyond Rogue itself, including the engineers and administrators who knowingly enable or ignore malicious activity. As </w:t>
      </w:r>
      <w:proofErr w:type="spellStart"/>
      <w:r w:rsidRPr="00C874FE">
        <w:t>Gotterbarn</w:t>
      </w:r>
      <w:proofErr w:type="spellEnd"/>
      <w:r w:rsidRPr="00C874FE">
        <w:t>, Miller and Rogerson (2019) note, ethical practice requires proactive action to mitigate risks, not passive compliance. Strengthening governance structures and transparency mechanisms would help prevent such unethical conduct and rebuild public trust.</w:t>
      </w:r>
      <w:r w:rsidRPr="00C874FE">
        <w:br/>
      </w:r>
      <w:r w:rsidRPr="00C874FE">
        <w:br/>
        <w:t>Word count: 262</w:t>
      </w:r>
      <w:r w:rsidRPr="00C874FE">
        <w:br/>
      </w:r>
      <w:r w:rsidRPr="00C874FE">
        <w:br/>
      </w:r>
      <w:r w:rsidRPr="00C874FE">
        <w:br/>
      </w:r>
      <w:r w:rsidRPr="00C874FE">
        <w:br/>
        <w:t>References</w:t>
      </w:r>
      <w:r w:rsidRPr="00C874FE">
        <w:br/>
      </w:r>
      <w:r w:rsidRPr="00C874FE">
        <w:br/>
        <w:t xml:space="preserve">ACM (2018) ACM Code of Ethics and Professional Conduct. Association for Computing Machinery. </w:t>
      </w:r>
      <w:hyperlink r:id="rId4" w:history="1">
        <w:r w:rsidRPr="00FA1744">
          <w:rPr>
            <w:rStyle w:val="Hyperlink"/>
          </w:rPr>
          <w:t>https://ethics.acm.org/code-of-ethics/</w:t>
        </w:r>
      </w:hyperlink>
      <w:r>
        <w:t xml:space="preserve"> </w:t>
      </w:r>
      <w:r w:rsidRPr="00C874FE">
        <w:br/>
      </w:r>
      <w:r w:rsidRPr="00C874FE">
        <w:br/>
        <w:t xml:space="preserve">BCS (2023) Code of Conduct. British Computer Society. </w:t>
      </w:r>
      <w:hyperlink r:id="rId5" w:history="1">
        <w:r w:rsidRPr="00FA1744">
          <w:rPr>
            <w:rStyle w:val="Hyperlink"/>
          </w:rPr>
          <w:t>https://www.bcs.org/membership/become-a-member/bcs-code-of-conduct/</w:t>
        </w:r>
      </w:hyperlink>
      <w:r>
        <w:t xml:space="preserve"> </w:t>
      </w:r>
      <w:r w:rsidRPr="00C874FE">
        <w:br/>
      </w:r>
      <w:r w:rsidRPr="00C874FE">
        <w:br/>
        <w:t xml:space="preserve">Broadhurst, R., Grabosky, P., </w:t>
      </w:r>
      <w:proofErr w:type="spellStart"/>
      <w:r w:rsidRPr="00C874FE">
        <w:t>Alazab</w:t>
      </w:r>
      <w:proofErr w:type="spellEnd"/>
      <w:r w:rsidRPr="00C874FE">
        <w:t xml:space="preserve">, M. and Chon, S. (2020) ‘Cybercrime laws across jurisdictions’, Journal of Cyber Policy, 5(3), pp. 345–360. </w:t>
      </w:r>
      <w:hyperlink r:id="rId6" w:history="1">
        <w:r w:rsidRPr="00FA1744">
          <w:rPr>
            <w:rStyle w:val="Hyperlink"/>
          </w:rPr>
          <w:t>https://www.tandfonline.com/doi/full/10.1080/23738871.2020.1848626</w:t>
        </w:r>
      </w:hyperlink>
      <w:r>
        <w:t xml:space="preserve"> </w:t>
      </w:r>
      <w:r w:rsidRPr="00C874FE">
        <w:br/>
      </w:r>
      <w:r w:rsidRPr="00C874FE">
        <w:br/>
      </w:r>
      <w:proofErr w:type="spellStart"/>
      <w:r w:rsidRPr="00C874FE">
        <w:t>Gotterbarn</w:t>
      </w:r>
      <w:proofErr w:type="spellEnd"/>
      <w:r w:rsidRPr="00C874FE">
        <w:t xml:space="preserve">, D., Miller, K. and Rogerson, S. (2019) ‘Professional ethics in computing: ACM’s revised Code of Ethics’, Communications of the ACM, 62(12), pp. 19–25. </w:t>
      </w:r>
      <w:hyperlink r:id="rId7" w:history="1">
        <w:r w:rsidRPr="00FA1744">
          <w:rPr>
            <w:rStyle w:val="Hyperlink"/>
          </w:rPr>
          <w:t>https://dl.acm.org/doi/10.1145/3339904</w:t>
        </w:r>
      </w:hyperlink>
      <w:r>
        <w:t xml:space="preserve"> </w:t>
      </w:r>
      <w:r w:rsidRPr="00C874FE">
        <w:br/>
      </w:r>
      <w:r w:rsidRPr="00C874FE">
        <w:br/>
        <w:t xml:space="preserve">Pollini, G. (2022) ‘Ethics and self-regulation in computing professions’, Journal of Information, </w:t>
      </w:r>
      <w:r w:rsidRPr="00C874FE">
        <w:lastRenderedPageBreak/>
        <w:t xml:space="preserve">Communication and Ethics in Society, 20(4), pp. 567–582. </w:t>
      </w:r>
      <w:hyperlink r:id="rId8" w:history="1">
        <w:r w:rsidRPr="00FA1744">
          <w:rPr>
            <w:rStyle w:val="Hyperlink"/>
          </w:rPr>
          <w:t>https://www.emerald.com/insight/content/doi/10.1108/JICES-05-2021-0051/full/html</w:t>
        </w:r>
      </w:hyperlink>
      <w:r>
        <w:t xml:space="preserve"> </w:t>
      </w:r>
      <w:r w:rsidRPr="00C874FE">
        <w:br/>
      </w:r>
      <w:r w:rsidRPr="00C874FE">
        <w:br/>
      </w:r>
      <w:proofErr w:type="spellStart"/>
      <w:r w:rsidRPr="00C874FE">
        <w:t>Spinellis</w:t>
      </w:r>
      <w:proofErr w:type="spellEnd"/>
      <w:r w:rsidRPr="00C874FE">
        <w:t xml:space="preserve">, D. (2019) ‘Cybersecurity and ethics in software engineering’, IEEE Software, 36(1), pp. 10–13. </w:t>
      </w:r>
      <w:hyperlink r:id="rId9" w:history="1">
        <w:r w:rsidRPr="00FA1744">
          <w:rPr>
            <w:rStyle w:val="Hyperlink"/>
          </w:rPr>
          <w:t>https://ieeexplore.ieee.org/document/8587810</w:t>
        </w:r>
      </w:hyperlink>
      <w:r>
        <w:t xml:space="preserve"> </w:t>
      </w:r>
    </w:p>
    <w:p w14:paraId="504E6F36" w14:textId="77777777" w:rsidR="00931349" w:rsidRDefault="00931349" w:rsidP="00C874FE"/>
    <w:p w14:paraId="06FD34D6" w14:textId="77777777" w:rsidR="00931349" w:rsidRPr="00913C51" w:rsidRDefault="00931349" w:rsidP="00931349">
      <w:pPr>
        <w:rPr>
          <w:b/>
          <w:bCs/>
        </w:rPr>
      </w:pPr>
      <w:r w:rsidRPr="00913C51">
        <w:rPr>
          <w:b/>
          <w:bCs/>
        </w:rPr>
        <w:t>Peer Response – Farhad</w:t>
      </w:r>
    </w:p>
    <w:p w14:paraId="3AE09942" w14:textId="77777777" w:rsidR="00931349" w:rsidRPr="00913C51" w:rsidRDefault="00931349" w:rsidP="00931349">
      <w:r w:rsidRPr="00913C51">
        <w:t xml:space="preserve">Farhad, your analysis of the </w:t>
      </w:r>
      <w:r w:rsidRPr="00913C51">
        <w:rPr>
          <w:i/>
          <w:iCs/>
        </w:rPr>
        <w:t>Medical Implant Risk Analysis</w:t>
      </w:r>
      <w:r w:rsidRPr="00913C51">
        <w:t xml:space="preserve"> case effectively demonstrates the ethical and technical challenges faced by health technology developers. I agree that Corazón’s approach reflects several ACM Code of Ethics (2023) principles, including contributing to society (1.1), evaluating systems thoroughly (2.5), and ensuring secure and robust design (2.9). These principles are vital in medical device development, where software flaws can directly endanger patient safety (</w:t>
      </w:r>
      <w:proofErr w:type="spellStart"/>
      <w:r w:rsidRPr="00913C51">
        <w:t>Gotterbarn</w:t>
      </w:r>
      <w:proofErr w:type="spellEnd"/>
      <w:r w:rsidRPr="00913C51">
        <w:t>, Miller and Rogerson, 2019).</w:t>
      </w:r>
    </w:p>
    <w:p w14:paraId="55645690" w14:textId="77777777" w:rsidR="00931349" w:rsidRPr="00913C51" w:rsidRDefault="00931349" w:rsidP="00931349">
      <w:r w:rsidRPr="00913C51">
        <w:t>Your point about the company’s transparency through independent research and a bug bounty programme aligns closely with the professional obligations outlined in the BCS Code of Conduct (2023). Such actions embody public interest and professional competence, promoting accountability in emerging medical systems (Pollini, 2022). Moreover, by identifying and resolving the hard-coded initialisation flaw, Corazón demonstrated proactive risk management consistent with ISO/IEC 81001-5-1:2021, which governs health software safety (ISO, 2021).</w:t>
      </w:r>
    </w:p>
    <w:p w14:paraId="0559A723" w14:textId="77777777" w:rsidR="00931349" w:rsidRPr="00913C51" w:rsidRDefault="00931349" w:rsidP="00931349">
      <w:r w:rsidRPr="00913C51">
        <w:t xml:space="preserve">It would also be valuable to expand your discussion on GDPR compliance, as patient data falls under special category data requiring the highest security standards. </w:t>
      </w:r>
      <w:proofErr w:type="spellStart"/>
      <w:r w:rsidRPr="00913C51">
        <w:t>Spinellis</w:t>
      </w:r>
      <w:proofErr w:type="spellEnd"/>
      <w:r w:rsidRPr="00913C51">
        <w:t xml:space="preserve"> (2019) notes that integrating ethical reasoning into the development process enhances both resilience and public trust in digital healthcare. Overall, your reflection captures the critical relationship between ethical governance, security assurance, and long-term trust in medical technologies.</w:t>
      </w:r>
    </w:p>
    <w:p w14:paraId="5B6D8E81" w14:textId="77777777" w:rsidR="00931349" w:rsidRPr="00913C51" w:rsidRDefault="00931349" w:rsidP="00931349">
      <w:r w:rsidRPr="00913C51">
        <w:rPr>
          <w:b/>
          <w:bCs/>
        </w:rPr>
        <w:t>Word count:</w:t>
      </w:r>
      <w:r w:rsidRPr="00913C51">
        <w:t xml:space="preserve"> 254</w:t>
      </w:r>
    </w:p>
    <w:p w14:paraId="1500CBD3" w14:textId="77777777" w:rsidR="00931349" w:rsidRPr="00913C51" w:rsidRDefault="00931349" w:rsidP="00931349"/>
    <w:p w14:paraId="5A9812C6" w14:textId="77777777" w:rsidR="00931349" w:rsidRPr="00913C51" w:rsidRDefault="00931349" w:rsidP="00931349">
      <w:pPr>
        <w:rPr>
          <w:b/>
          <w:bCs/>
        </w:rPr>
      </w:pPr>
      <w:r w:rsidRPr="00913C51">
        <w:rPr>
          <w:b/>
          <w:bCs/>
        </w:rPr>
        <w:t>References</w:t>
      </w:r>
    </w:p>
    <w:p w14:paraId="17152DD1" w14:textId="77777777" w:rsidR="00931349" w:rsidRPr="00913C51" w:rsidRDefault="00931349" w:rsidP="00931349">
      <w:r w:rsidRPr="00913C51">
        <w:t xml:space="preserve">ACM (2023) </w:t>
      </w:r>
      <w:r w:rsidRPr="00913C51">
        <w:rPr>
          <w:i/>
          <w:iCs/>
        </w:rPr>
        <w:t>Code of Ethics and Professional Conduct Case Studies: Medical Implant Risk Analysis.</w:t>
      </w:r>
      <w:r w:rsidRPr="00913C51">
        <w:t xml:space="preserve"> Association for Computing Machinery. </w:t>
      </w:r>
      <w:hyperlink r:id="rId10" w:tgtFrame="_new" w:history="1">
        <w:r w:rsidRPr="00913C51">
          <w:rPr>
            <w:rStyle w:val="Hyperlink"/>
          </w:rPr>
          <w:t>https://www.acm.org/code-of-ethics/case-studies</w:t>
        </w:r>
      </w:hyperlink>
    </w:p>
    <w:p w14:paraId="228B7661" w14:textId="77777777" w:rsidR="00931349" w:rsidRPr="00913C51" w:rsidRDefault="00931349" w:rsidP="00931349">
      <w:r w:rsidRPr="00913C51">
        <w:t xml:space="preserve">BCS (2023) </w:t>
      </w:r>
      <w:r w:rsidRPr="00913C51">
        <w:rPr>
          <w:i/>
          <w:iCs/>
        </w:rPr>
        <w:t>Code of Conduct.</w:t>
      </w:r>
      <w:r w:rsidRPr="00913C51">
        <w:t xml:space="preserve"> The Chartered Institute for IT. </w:t>
      </w:r>
      <w:hyperlink r:id="rId11" w:tgtFrame="_new" w:history="1">
        <w:r w:rsidRPr="00913C51">
          <w:rPr>
            <w:rStyle w:val="Hyperlink"/>
          </w:rPr>
          <w:t>https://www.bcs.org/membership/become-a-member/bcs-code-of-conduct/</w:t>
        </w:r>
      </w:hyperlink>
    </w:p>
    <w:p w14:paraId="5B493DB4" w14:textId="77777777" w:rsidR="00931349" w:rsidRPr="00913C51" w:rsidRDefault="00931349" w:rsidP="00931349">
      <w:proofErr w:type="spellStart"/>
      <w:r w:rsidRPr="00913C51">
        <w:t>Gotterbarn</w:t>
      </w:r>
      <w:proofErr w:type="spellEnd"/>
      <w:r w:rsidRPr="00913C51">
        <w:t xml:space="preserve">, D., Miller, K. and Rogerson, S. (2019) ‘Professional ethics in computing: ACM’s revised Code of Ethics’, </w:t>
      </w:r>
      <w:r w:rsidRPr="00913C51">
        <w:rPr>
          <w:i/>
          <w:iCs/>
        </w:rPr>
        <w:t>Communications of the ACM,</w:t>
      </w:r>
      <w:r w:rsidRPr="00913C51">
        <w:t xml:space="preserve"> 62(12), pp. 19–25. </w:t>
      </w:r>
      <w:hyperlink r:id="rId12" w:tgtFrame="_new" w:history="1">
        <w:r w:rsidRPr="00913C51">
          <w:rPr>
            <w:rStyle w:val="Hyperlink"/>
          </w:rPr>
          <w:t>https://dl.acm.org/doi/10.1145/3339904</w:t>
        </w:r>
      </w:hyperlink>
    </w:p>
    <w:p w14:paraId="23D113C2" w14:textId="77777777" w:rsidR="00931349" w:rsidRPr="00913C51" w:rsidRDefault="00931349" w:rsidP="00931349">
      <w:r w:rsidRPr="00913C51">
        <w:t xml:space="preserve">ISO (2021) </w:t>
      </w:r>
      <w:r w:rsidRPr="00913C51">
        <w:rPr>
          <w:i/>
          <w:iCs/>
        </w:rPr>
        <w:t>ISO/IEC 81001-5-1:2021 Health software and health IT systems safety, effectiveness and security.</w:t>
      </w:r>
      <w:r w:rsidRPr="00913C51">
        <w:t xml:space="preserve"> International Organization for Standardization. </w:t>
      </w:r>
      <w:hyperlink r:id="rId13" w:tgtFrame="_new" w:history="1">
        <w:r w:rsidRPr="00913C51">
          <w:rPr>
            <w:rStyle w:val="Hyperlink"/>
          </w:rPr>
          <w:t>https://www.iso.org/standard/71670.html</w:t>
        </w:r>
      </w:hyperlink>
    </w:p>
    <w:p w14:paraId="26EFCC80" w14:textId="77777777" w:rsidR="00931349" w:rsidRPr="00913C51" w:rsidRDefault="00931349" w:rsidP="00931349">
      <w:r w:rsidRPr="00913C51">
        <w:t xml:space="preserve">Pollini, G. (2022) ‘Ethics and self-regulation in computing professions’, </w:t>
      </w:r>
      <w:r w:rsidRPr="00913C51">
        <w:rPr>
          <w:i/>
          <w:iCs/>
        </w:rPr>
        <w:t>Journal of Information, Communication and Ethics in Society,</w:t>
      </w:r>
      <w:r w:rsidRPr="00913C51">
        <w:t xml:space="preserve"> 20(4), pp. 567–582. </w:t>
      </w:r>
      <w:hyperlink r:id="rId14" w:tgtFrame="_new" w:history="1">
        <w:r w:rsidRPr="00913C51">
          <w:rPr>
            <w:rStyle w:val="Hyperlink"/>
          </w:rPr>
          <w:t>https://www.emerald.com/insight/content/doi/10.1108/JICES-05-2021-0051/full/html</w:t>
        </w:r>
      </w:hyperlink>
    </w:p>
    <w:p w14:paraId="588507DD" w14:textId="77777777" w:rsidR="00931349" w:rsidRPr="00913C51" w:rsidRDefault="00931349" w:rsidP="00931349">
      <w:proofErr w:type="spellStart"/>
      <w:r w:rsidRPr="00913C51">
        <w:lastRenderedPageBreak/>
        <w:t>Spinellis</w:t>
      </w:r>
      <w:proofErr w:type="spellEnd"/>
      <w:r w:rsidRPr="00913C51">
        <w:t xml:space="preserve">, D. (2019) ‘Cybersecurity and ethics in software engineering’, </w:t>
      </w:r>
      <w:r w:rsidRPr="00913C51">
        <w:rPr>
          <w:i/>
          <w:iCs/>
        </w:rPr>
        <w:t>IEEE Software,</w:t>
      </w:r>
      <w:r w:rsidRPr="00913C51">
        <w:t xml:space="preserve"> 36(1), pp. 10–13. </w:t>
      </w:r>
      <w:hyperlink r:id="rId15" w:tgtFrame="_new" w:history="1">
        <w:r w:rsidRPr="00913C51">
          <w:rPr>
            <w:rStyle w:val="Hyperlink"/>
          </w:rPr>
          <w:t>https://ieeexplore.ieee.org/document/8587810</w:t>
        </w:r>
      </w:hyperlink>
    </w:p>
    <w:p w14:paraId="028BA06D" w14:textId="77777777" w:rsidR="00931349" w:rsidRDefault="00931349" w:rsidP="00931349"/>
    <w:p w14:paraId="6356EFFB" w14:textId="77777777" w:rsidR="00D9501C" w:rsidRPr="00C962E0" w:rsidRDefault="00D9501C" w:rsidP="00D9501C">
      <w:pPr>
        <w:rPr>
          <w:b/>
          <w:bCs/>
        </w:rPr>
      </w:pPr>
      <w:r w:rsidRPr="00C962E0">
        <w:rPr>
          <w:b/>
          <w:bCs/>
        </w:rPr>
        <w:t>Peer Response – Mark</w:t>
      </w:r>
    </w:p>
    <w:p w14:paraId="1941673F" w14:textId="77777777" w:rsidR="00D9501C" w:rsidRPr="00C962E0" w:rsidRDefault="00D9501C" w:rsidP="00D9501C">
      <w:r w:rsidRPr="00C962E0">
        <w:t xml:space="preserve">Mark, your reflection on the </w:t>
      </w:r>
      <w:r w:rsidRPr="00C962E0">
        <w:rPr>
          <w:i/>
          <w:iCs/>
        </w:rPr>
        <w:t>Medical Implant Risk Analysis</w:t>
      </w:r>
      <w:r w:rsidRPr="00C962E0">
        <w:t xml:space="preserve"> case effectively highlights how Corazón balanced ethical, professional and legal considerations. I agree that their proactive collaboration with independent researchers and use of recognised encryption techniques demonstrates strong ethical maturity and accountability, consistent with both the ACM (2023) and BCS (2023) codes of conduct. Their actions show how transparency and technical competence can coexist as essential components of ethical computing practice (</w:t>
      </w:r>
      <w:proofErr w:type="spellStart"/>
      <w:r w:rsidRPr="00C962E0">
        <w:t>Gotterbarn</w:t>
      </w:r>
      <w:proofErr w:type="spellEnd"/>
      <w:r w:rsidRPr="00C962E0">
        <w:t>, Miller and Rogerson, 2019).</w:t>
      </w:r>
    </w:p>
    <w:p w14:paraId="7D22A769" w14:textId="77777777" w:rsidR="00D9501C" w:rsidRPr="00C962E0" w:rsidRDefault="00D9501C" w:rsidP="00D9501C">
      <w:r w:rsidRPr="00C962E0">
        <w:t>Your point about post-assessment responsibilities is particularly insightful. Even when a risk is deemed negligible, continuing oversight and reporting remain vital to maintaining patient safety and public confidence. As ISO (2021) and Pollini (2022) note, effective clinical risk management requires continuous documentation of vulnerabilities and communication with stakeholders. By integrating these processes into their governance framework, Corazón would align more closely with NHS England’s current digital safety standards.</w:t>
      </w:r>
    </w:p>
    <w:p w14:paraId="357D6AF2" w14:textId="77777777" w:rsidR="00D9501C" w:rsidRPr="00C962E0" w:rsidRDefault="00D9501C" w:rsidP="00D9501C">
      <w:r w:rsidRPr="00C962E0">
        <w:t>It may also strengthen your argument to connect this to GDPR’s accountability principle, which demands demonstrable evidence of data protection compliance. Corazón’s openness supports this by fostering trust while ensuring traceability of decisions. Overall, your analysis provides a well-reasoned example of how ethical and technical diligence reinforce each other within healthcare technology development.</w:t>
      </w:r>
    </w:p>
    <w:p w14:paraId="277C8CDF" w14:textId="77777777" w:rsidR="00D9501C" w:rsidRPr="00C962E0" w:rsidRDefault="00D9501C" w:rsidP="00D9501C">
      <w:r w:rsidRPr="00C962E0">
        <w:rPr>
          <w:b/>
          <w:bCs/>
        </w:rPr>
        <w:t>Word count:</w:t>
      </w:r>
      <w:r w:rsidRPr="00C962E0">
        <w:t xml:space="preserve"> 253</w:t>
      </w:r>
    </w:p>
    <w:p w14:paraId="7035215F" w14:textId="77777777" w:rsidR="00D9501C" w:rsidRPr="00C962E0" w:rsidRDefault="00D9501C" w:rsidP="00D9501C"/>
    <w:p w14:paraId="414E3BF6" w14:textId="77777777" w:rsidR="00D9501C" w:rsidRPr="00C962E0" w:rsidRDefault="00D9501C" w:rsidP="00D9501C">
      <w:pPr>
        <w:rPr>
          <w:b/>
          <w:bCs/>
        </w:rPr>
      </w:pPr>
      <w:r w:rsidRPr="00C962E0">
        <w:rPr>
          <w:b/>
          <w:bCs/>
        </w:rPr>
        <w:t>References</w:t>
      </w:r>
    </w:p>
    <w:p w14:paraId="715F2F58" w14:textId="77777777" w:rsidR="00D9501C" w:rsidRPr="00C962E0" w:rsidRDefault="00D9501C" w:rsidP="00D9501C">
      <w:r w:rsidRPr="00C962E0">
        <w:t xml:space="preserve">ACM (2023) </w:t>
      </w:r>
      <w:r w:rsidRPr="00C962E0">
        <w:rPr>
          <w:i/>
          <w:iCs/>
        </w:rPr>
        <w:t>Code of Ethics and Professional Conduct Case Studies: Medical Implant Risk Analysis.</w:t>
      </w:r>
      <w:r w:rsidRPr="00C962E0">
        <w:t xml:space="preserve"> Association for Computing Machinery. </w:t>
      </w:r>
      <w:hyperlink r:id="rId16" w:tgtFrame="_new" w:history="1">
        <w:r w:rsidRPr="00C962E0">
          <w:rPr>
            <w:rStyle w:val="Hyperlink"/>
          </w:rPr>
          <w:t>https://www.acm.org/code-of-ethics/case-studies</w:t>
        </w:r>
      </w:hyperlink>
    </w:p>
    <w:p w14:paraId="6BA84125" w14:textId="77777777" w:rsidR="00D9501C" w:rsidRPr="00C962E0" w:rsidRDefault="00D9501C" w:rsidP="00D9501C">
      <w:r w:rsidRPr="00C962E0">
        <w:t xml:space="preserve">BCS (2023) </w:t>
      </w:r>
      <w:r w:rsidRPr="00C962E0">
        <w:rPr>
          <w:i/>
          <w:iCs/>
        </w:rPr>
        <w:t>Code of Conduct.</w:t>
      </w:r>
      <w:r w:rsidRPr="00C962E0">
        <w:t xml:space="preserve"> The Chartered Institute for IT. </w:t>
      </w:r>
      <w:hyperlink r:id="rId17" w:tgtFrame="_new" w:history="1">
        <w:r w:rsidRPr="00C962E0">
          <w:rPr>
            <w:rStyle w:val="Hyperlink"/>
          </w:rPr>
          <w:t>https://www.bcs.org/membership/become-a-member/bcs-code-of-conduct/</w:t>
        </w:r>
      </w:hyperlink>
    </w:p>
    <w:p w14:paraId="30D82426" w14:textId="77777777" w:rsidR="00D9501C" w:rsidRPr="00C962E0" w:rsidRDefault="00D9501C" w:rsidP="00D9501C">
      <w:proofErr w:type="spellStart"/>
      <w:r w:rsidRPr="00C962E0">
        <w:t>Gotterbarn</w:t>
      </w:r>
      <w:proofErr w:type="spellEnd"/>
      <w:r w:rsidRPr="00C962E0">
        <w:t xml:space="preserve">, D., Miller, K. and Rogerson, S. (2019) ‘Professional ethics in computing: ACM’s revised Code of Ethics’, </w:t>
      </w:r>
      <w:r w:rsidRPr="00C962E0">
        <w:rPr>
          <w:i/>
          <w:iCs/>
        </w:rPr>
        <w:t>Communications of the ACM,</w:t>
      </w:r>
      <w:r w:rsidRPr="00C962E0">
        <w:t xml:space="preserve"> 62(12), pp. 19–25. </w:t>
      </w:r>
      <w:hyperlink r:id="rId18" w:tgtFrame="_new" w:history="1">
        <w:r w:rsidRPr="00C962E0">
          <w:rPr>
            <w:rStyle w:val="Hyperlink"/>
          </w:rPr>
          <w:t>https://dl.acm.org/doi/10.1145/3339904</w:t>
        </w:r>
      </w:hyperlink>
    </w:p>
    <w:p w14:paraId="6EEF9B72" w14:textId="77777777" w:rsidR="00D9501C" w:rsidRPr="00C962E0" w:rsidRDefault="00D9501C" w:rsidP="00D9501C">
      <w:r w:rsidRPr="00C962E0">
        <w:t xml:space="preserve">ISO (2021) </w:t>
      </w:r>
      <w:r w:rsidRPr="00C962E0">
        <w:rPr>
          <w:i/>
          <w:iCs/>
        </w:rPr>
        <w:t>ISO/IEC 81001-5-1:2021 Health software and health IT systems safety, effectiveness and security.</w:t>
      </w:r>
      <w:r w:rsidRPr="00C962E0">
        <w:t xml:space="preserve"> International Organization for Standardization. </w:t>
      </w:r>
      <w:hyperlink r:id="rId19" w:tgtFrame="_new" w:history="1">
        <w:r w:rsidRPr="00C962E0">
          <w:rPr>
            <w:rStyle w:val="Hyperlink"/>
          </w:rPr>
          <w:t>https://www.iso.org/standard/71670.html</w:t>
        </w:r>
      </w:hyperlink>
    </w:p>
    <w:p w14:paraId="792B55DA" w14:textId="77777777" w:rsidR="00D9501C" w:rsidRPr="00C962E0" w:rsidRDefault="00D9501C" w:rsidP="00D9501C">
      <w:r w:rsidRPr="00C962E0">
        <w:t xml:space="preserve">Pollini, G. (2022) ‘Ethics and self-regulation in computing professions’, </w:t>
      </w:r>
      <w:r w:rsidRPr="00C962E0">
        <w:rPr>
          <w:i/>
          <w:iCs/>
        </w:rPr>
        <w:t>Journal of Information, Communication and Ethics in Society,</w:t>
      </w:r>
      <w:r w:rsidRPr="00C962E0">
        <w:t xml:space="preserve"> 20(4), pp. 567–582. </w:t>
      </w:r>
      <w:hyperlink r:id="rId20" w:tgtFrame="_new" w:history="1">
        <w:r w:rsidRPr="00C962E0">
          <w:rPr>
            <w:rStyle w:val="Hyperlink"/>
          </w:rPr>
          <w:t>https://www.emerald.com/insight/content/doi/10.1108/JICES-05-2021-0051/full/html</w:t>
        </w:r>
      </w:hyperlink>
    </w:p>
    <w:p w14:paraId="0E898CB3" w14:textId="77777777" w:rsidR="00D9501C" w:rsidRDefault="00D9501C" w:rsidP="00D9501C"/>
    <w:p w14:paraId="55C87A00" w14:textId="77777777" w:rsidR="00931349" w:rsidRDefault="00931349" w:rsidP="00C874FE"/>
    <w:sectPr w:rsidR="00931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B51DA"/>
    <w:rsid w:val="00027E06"/>
    <w:rsid w:val="001B2CB6"/>
    <w:rsid w:val="0025726F"/>
    <w:rsid w:val="00276A1B"/>
    <w:rsid w:val="004B51DA"/>
    <w:rsid w:val="006C3575"/>
    <w:rsid w:val="00931349"/>
    <w:rsid w:val="009A4979"/>
    <w:rsid w:val="00C874FE"/>
    <w:rsid w:val="00D9501C"/>
    <w:rsid w:val="00F813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CDC66"/>
  <w15:chartTrackingRefBased/>
  <w15:docId w15:val="{D4C79A66-365B-4F16-AB98-7412EA743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1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1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1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1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1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1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1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1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1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1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1DA"/>
    <w:rPr>
      <w:rFonts w:eastAsiaTheme="majorEastAsia" w:cstheme="majorBidi"/>
      <w:color w:val="272727" w:themeColor="text1" w:themeTint="D8"/>
    </w:rPr>
  </w:style>
  <w:style w:type="paragraph" w:styleId="Title">
    <w:name w:val="Title"/>
    <w:basedOn w:val="Normal"/>
    <w:next w:val="Normal"/>
    <w:link w:val="TitleChar"/>
    <w:uiPriority w:val="10"/>
    <w:qFormat/>
    <w:rsid w:val="004B5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1DA"/>
    <w:pPr>
      <w:spacing w:before="160"/>
      <w:jc w:val="center"/>
    </w:pPr>
    <w:rPr>
      <w:i/>
      <w:iCs/>
      <w:color w:val="404040" w:themeColor="text1" w:themeTint="BF"/>
    </w:rPr>
  </w:style>
  <w:style w:type="character" w:customStyle="1" w:styleId="QuoteChar">
    <w:name w:val="Quote Char"/>
    <w:basedOn w:val="DefaultParagraphFont"/>
    <w:link w:val="Quote"/>
    <w:uiPriority w:val="29"/>
    <w:rsid w:val="004B51DA"/>
    <w:rPr>
      <w:i/>
      <w:iCs/>
      <w:color w:val="404040" w:themeColor="text1" w:themeTint="BF"/>
    </w:rPr>
  </w:style>
  <w:style w:type="paragraph" w:styleId="ListParagraph">
    <w:name w:val="List Paragraph"/>
    <w:basedOn w:val="Normal"/>
    <w:uiPriority w:val="34"/>
    <w:qFormat/>
    <w:rsid w:val="004B51DA"/>
    <w:pPr>
      <w:ind w:left="720"/>
      <w:contextualSpacing/>
    </w:pPr>
  </w:style>
  <w:style w:type="character" w:styleId="IntenseEmphasis">
    <w:name w:val="Intense Emphasis"/>
    <w:basedOn w:val="DefaultParagraphFont"/>
    <w:uiPriority w:val="21"/>
    <w:qFormat/>
    <w:rsid w:val="004B51DA"/>
    <w:rPr>
      <w:i/>
      <w:iCs/>
      <w:color w:val="2F5496" w:themeColor="accent1" w:themeShade="BF"/>
    </w:rPr>
  </w:style>
  <w:style w:type="paragraph" w:styleId="IntenseQuote">
    <w:name w:val="Intense Quote"/>
    <w:basedOn w:val="Normal"/>
    <w:next w:val="Normal"/>
    <w:link w:val="IntenseQuoteChar"/>
    <w:uiPriority w:val="30"/>
    <w:qFormat/>
    <w:rsid w:val="004B51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1DA"/>
    <w:rPr>
      <w:i/>
      <w:iCs/>
      <w:color w:val="2F5496" w:themeColor="accent1" w:themeShade="BF"/>
    </w:rPr>
  </w:style>
  <w:style w:type="character" w:styleId="IntenseReference">
    <w:name w:val="Intense Reference"/>
    <w:basedOn w:val="DefaultParagraphFont"/>
    <w:uiPriority w:val="32"/>
    <w:qFormat/>
    <w:rsid w:val="004B51DA"/>
    <w:rPr>
      <w:b/>
      <w:bCs/>
      <w:smallCaps/>
      <w:color w:val="2F5496" w:themeColor="accent1" w:themeShade="BF"/>
      <w:spacing w:val="5"/>
    </w:rPr>
  </w:style>
  <w:style w:type="character" w:styleId="Hyperlink">
    <w:name w:val="Hyperlink"/>
    <w:basedOn w:val="DefaultParagraphFont"/>
    <w:uiPriority w:val="99"/>
    <w:unhideWhenUsed/>
    <w:rsid w:val="00C874FE"/>
    <w:rPr>
      <w:color w:val="0563C1" w:themeColor="hyperlink"/>
      <w:u w:val="single"/>
    </w:rPr>
  </w:style>
  <w:style w:type="character" w:styleId="UnresolvedMention">
    <w:name w:val="Unresolved Mention"/>
    <w:basedOn w:val="DefaultParagraphFont"/>
    <w:uiPriority w:val="99"/>
    <w:semiHidden/>
    <w:unhideWhenUsed/>
    <w:rsid w:val="00C87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rald.com/insight/content/doi/10.1108/JICES-05-2021-0051/full/html" TargetMode="External"/><Relationship Id="rId13" Type="http://schemas.openxmlformats.org/officeDocument/2006/relationships/hyperlink" Target="https://www.iso.org/standard/71670.html" TargetMode="External"/><Relationship Id="rId18" Type="http://schemas.openxmlformats.org/officeDocument/2006/relationships/hyperlink" Target="https://dl.acm.org/doi/10.1145/3339904"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dl.acm.org/doi/10.1145/3339904" TargetMode="External"/><Relationship Id="rId12" Type="http://schemas.openxmlformats.org/officeDocument/2006/relationships/hyperlink" Target="https://dl.acm.org/doi/10.1145/3339904" TargetMode="External"/><Relationship Id="rId17" Type="http://schemas.openxmlformats.org/officeDocument/2006/relationships/hyperlink" Target="https://www.bcs.org/membership/become-a-member/bcs-code-of-conduct/" TargetMode="External"/><Relationship Id="rId2" Type="http://schemas.openxmlformats.org/officeDocument/2006/relationships/settings" Target="settings.xml"/><Relationship Id="rId16" Type="http://schemas.openxmlformats.org/officeDocument/2006/relationships/hyperlink" Target="https://www.acm.org/code-of-ethics/case-studies?utm_source=chatgpt.com" TargetMode="External"/><Relationship Id="rId20" Type="http://schemas.openxmlformats.org/officeDocument/2006/relationships/hyperlink" Target="https://www.emerald.com/insight/content/doi/10.1108/JICES-05-2021-0051/full/html" TargetMode="External"/><Relationship Id="rId1" Type="http://schemas.openxmlformats.org/officeDocument/2006/relationships/styles" Target="styles.xml"/><Relationship Id="rId6" Type="http://schemas.openxmlformats.org/officeDocument/2006/relationships/hyperlink" Target="https://www.tandfonline.com/doi/full/10.1080/23738871.2020.1848626" TargetMode="External"/><Relationship Id="rId11" Type="http://schemas.openxmlformats.org/officeDocument/2006/relationships/hyperlink" Target="https://www.bcs.org/membership/become-a-member/bcs-code-of-conduct/" TargetMode="External"/><Relationship Id="rId5" Type="http://schemas.openxmlformats.org/officeDocument/2006/relationships/hyperlink" Target="https://www.bcs.org/membership/become-a-member/bcs-code-of-conduct/" TargetMode="External"/><Relationship Id="rId15" Type="http://schemas.openxmlformats.org/officeDocument/2006/relationships/hyperlink" Target="https://ieeexplore.ieee.org/document/8587810" TargetMode="External"/><Relationship Id="rId10" Type="http://schemas.openxmlformats.org/officeDocument/2006/relationships/hyperlink" Target="https://www.acm.org/code-of-ethics/case-studies?utm_source=chatgpt.com" TargetMode="External"/><Relationship Id="rId19" Type="http://schemas.openxmlformats.org/officeDocument/2006/relationships/hyperlink" Target="https://www.iso.org/standard/71670.html" TargetMode="External"/><Relationship Id="rId4" Type="http://schemas.openxmlformats.org/officeDocument/2006/relationships/hyperlink" Target="https://ethics.acm.org/code-of-ethics/" TargetMode="External"/><Relationship Id="rId9" Type="http://schemas.openxmlformats.org/officeDocument/2006/relationships/hyperlink" Target="https://ieeexplore.ieee.org/document/8587810" TargetMode="External"/><Relationship Id="rId14" Type="http://schemas.openxmlformats.org/officeDocument/2006/relationships/hyperlink" Target="https://www.emerald.com/insight/content/doi/10.1108/JICES-05-2021-0051/full/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1163</Words>
  <Characters>8318</Characters>
  <Application>Microsoft Office Word</Application>
  <DocSecurity>0</DocSecurity>
  <Lines>145</Lines>
  <Paragraphs>33</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Mustafa</dc:creator>
  <cp:keywords/>
  <dc:description/>
  <cp:lastModifiedBy>Hussein, Mustafa</cp:lastModifiedBy>
  <cp:revision>4</cp:revision>
  <dcterms:created xsi:type="dcterms:W3CDTF">2025-11-23T21:57:00Z</dcterms:created>
  <dcterms:modified xsi:type="dcterms:W3CDTF">2025-11-23T21:58:00Z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a425af16-bcda-4470-a3f2-e826189ca45c</vt:lpwstr>
  </property>
</Properties>
</file>