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A2B7" w14:textId="77777777" w:rsidR="00902D00" w:rsidRPr="00902D00" w:rsidRDefault="00902D00" w:rsidP="00902D00">
      <w:pPr>
        <w:rPr>
          <w:b/>
          <w:bCs/>
        </w:rPr>
      </w:pPr>
      <w:r w:rsidRPr="00902D00">
        <w:rPr>
          <w:b/>
          <w:bCs/>
        </w:rPr>
        <w:t>Research Proposal Outline (Formative)</w:t>
      </w:r>
    </w:p>
    <w:p w14:paraId="05914231" w14:textId="77777777" w:rsidR="00902D00" w:rsidRPr="00902D00" w:rsidRDefault="00902D00" w:rsidP="00902D00">
      <w:pPr>
        <w:rPr>
          <w:b/>
          <w:bCs/>
        </w:rPr>
      </w:pPr>
      <w:r w:rsidRPr="00902D00">
        <w:rPr>
          <w:b/>
          <w:bCs/>
        </w:rPr>
        <w:t>Unit 8</w:t>
      </w:r>
    </w:p>
    <w:p w14:paraId="30A50115" w14:textId="08AE833C" w:rsidR="00902D00" w:rsidRPr="00902D00" w:rsidRDefault="00902D00" w:rsidP="00902D00">
      <w:pPr>
        <w:rPr>
          <w:b/>
          <w:bCs/>
        </w:rPr>
      </w:pPr>
    </w:p>
    <w:p w14:paraId="45274DB5" w14:textId="77777777" w:rsidR="00902D00" w:rsidRPr="00902D00" w:rsidRDefault="00902D00" w:rsidP="00902D00">
      <w:pPr>
        <w:rPr>
          <w:b/>
          <w:bCs/>
        </w:rPr>
      </w:pPr>
      <w:r w:rsidRPr="00902D00">
        <w:rPr>
          <w:b/>
          <w:bCs/>
        </w:rPr>
        <w:t>Project Title</w:t>
      </w:r>
    </w:p>
    <w:p w14:paraId="0FDCF2BF" w14:textId="77777777" w:rsidR="00902D00" w:rsidRPr="00902D00" w:rsidRDefault="00902D00" w:rsidP="00902D00">
      <w:pPr>
        <w:rPr>
          <w:b/>
          <w:bCs/>
        </w:rPr>
      </w:pPr>
      <w:r w:rsidRPr="00902D00">
        <w:rPr>
          <w:b/>
          <w:bCs/>
        </w:rPr>
        <w:t>Assessing the Influence of Cloud-Based Device Management on Organisational Security and Operational Effectiveness</w:t>
      </w:r>
    </w:p>
    <w:p w14:paraId="2A5942A2" w14:textId="59932F72" w:rsidR="00902D00" w:rsidRPr="00902D00" w:rsidRDefault="00902D00" w:rsidP="00902D00"/>
    <w:p w14:paraId="3D5E1200" w14:textId="77777777" w:rsidR="00902D00" w:rsidRPr="00902D00" w:rsidRDefault="00902D00" w:rsidP="00902D00">
      <w:pPr>
        <w:rPr>
          <w:b/>
          <w:bCs/>
        </w:rPr>
      </w:pPr>
      <w:r w:rsidRPr="00902D00">
        <w:rPr>
          <w:b/>
          <w:bCs/>
        </w:rPr>
        <w:t>Research Problem and Significance</w:t>
      </w:r>
    </w:p>
    <w:p w14:paraId="5CE558F9" w14:textId="77777777" w:rsidR="00902D00" w:rsidRPr="00902D00" w:rsidRDefault="00902D00" w:rsidP="00902D00">
      <w:r w:rsidRPr="00902D00">
        <w:t>The growing reliance on cloud technologies has significantly altered the way organisations oversee and control end-user devices, including laptops, smartphones, and tablets. Cloud-based device management and Unified Endpoint Management (UEM) platforms are now widely adopted to enable flexible working practices, centralised administration, and enhanced security controls. These systems are frequently positioned as solutions that strengthen security, ensure regulatory compliance, and improve operational efficiency through automation and standardised policy enforcement (Mell and Grance, 2011).</w:t>
      </w:r>
    </w:p>
    <w:p w14:paraId="65933387" w14:textId="77777777" w:rsidR="00902D00" w:rsidRPr="00902D00" w:rsidRDefault="00902D00" w:rsidP="00902D00">
      <w:r w:rsidRPr="00902D00">
        <w:t>Although adoption rates continue to increase, there is a lack of independent academic research assessing whether these technologies achieve their intended outcomes in real organisational settings. Existing evidence is largely derived from vendor publications or conceptual discussions, with limited empirical investigation. As a result, there remains uncertainty regarding the extent to which cloud-based device management solutions genuinely deliver measurable improvements for organisations.</w:t>
      </w:r>
    </w:p>
    <w:p w14:paraId="5B2CB189" w14:textId="77777777" w:rsidR="00902D00" w:rsidRPr="00902D00" w:rsidRDefault="00902D00" w:rsidP="00902D00">
      <w:r w:rsidRPr="00902D00">
        <w:t>This study aims to explore this gap by examining how cloud-based device management affects organisational security and operational efficiency. The research is relevant to the Computing discipline, particularly within the contexts of cloud computing, enterprise IT management, cybersecurity, and ongoing digital transformation initiatives.</w:t>
      </w:r>
    </w:p>
    <w:p w14:paraId="5CA3B966" w14:textId="5328265B" w:rsidR="00902D00" w:rsidRPr="00902D00" w:rsidRDefault="00902D00" w:rsidP="00902D00"/>
    <w:p w14:paraId="100C55B9" w14:textId="77777777" w:rsidR="00902D00" w:rsidRPr="00902D00" w:rsidRDefault="00902D00" w:rsidP="00902D00">
      <w:pPr>
        <w:rPr>
          <w:b/>
          <w:bCs/>
        </w:rPr>
      </w:pPr>
      <w:r w:rsidRPr="00902D00">
        <w:rPr>
          <w:b/>
          <w:bCs/>
        </w:rPr>
        <w:t>Research Question</w:t>
      </w:r>
    </w:p>
    <w:p w14:paraId="1B4AA1D9" w14:textId="13917594" w:rsidR="00902D00" w:rsidRPr="00902D00" w:rsidRDefault="00902D00" w:rsidP="001B1319">
      <w:r w:rsidRPr="00902D00">
        <w:t>To what extent do cloud-based device management solutions enhance organisational security and operational efficiency?</w:t>
      </w:r>
    </w:p>
    <w:p w14:paraId="192FC532" w14:textId="77777777" w:rsidR="00902D00" w:rsidRPr="00902D00" w:rsidRDefault="00902D00" w:rsidP="00902D00">
      <w:pPr>
        <w:rPr>
          <w:b/>
          <w:bCs/>
        </w:rPr>
      </w:pPr>
      <w:r w:rsidRPr="00902D00">
        <w:rPr>
          <w:b/>
          <w:bCs/>
        </w:rPr>
        <w:t>Aim</w:t>
      </w:r>
    </w:p>
    <w:p w14:paraId="58ACCDF4" w14:textId="77777777" w:rsidR="00902D00" w:rsidRPr="00902D00" w:rsidRDefault="00902D00" w:rsidP="00902D00">
      <w:r w:rsidRPr="00902D00">
        <w:t>To investigate the impact of cloud-based device management on organisational security practices and operational efficiency.</w:t>
      </w:r>
    </w:p>
    <w:p w14:paraId="7865EBB8" w14:textId="0961A099" w:rsidR="00902D00" w:rsidRPr="00902D00" w:rsidRDefault="00902D00" w:rsidP="00902D00"/>
    <w:p w14:paraId="7910E920" w14:textId="77777777" w:rsidR="00902D00" w:rsidRPr="00902D00" w:rsidRDefault="00902D00" w:rsidP="00902D00">
      <w:pPr>
        <w:rPr>
          <w:b/>
          <w:bCs/>
        </w:rPr>
      </w:pPr>
      <w:r w:rsidRPr="00902D00">
        <w:rPr>
          <w:b/>
          <w:bCs/>
        </w:rPr>
        <w:t>Objectives</w:t>
      </w:r>
    </w:p>
    <w:p w14:paraId="18CC776C" w14:textId="77777777" w:rsidR="00902D00" w:rsidRPr="00902D00" w:rsidRDefault="00902D00" w:rsidP="00902D00">
      <w:pPr>
        <w:numPr>
          <w:ilvl w:val="0"/>
          <w:numId w:val="4"/>
        </w:numPr>
      </w:pPr>
      <w:r w:rsidRPr="00902D00">
        <w:t>To critically examine existing academic and professional literature on cloud-based device management and Unified Endpoint Management solutions</w:t>
      </w:r>
    </w:p>
    <w:p w14:paraId="770E3B61" w14:textId="77777777" w:rsidR="00902D00" w:rsidRPr="00902D00" w:rsidRDefault="00902D00" w:rsidP="00902D00">
      <w:pPr>
        <w:numPr>
          <w:ilvl w:val="0"/>
          <w:numId w:val="4"/>
        </w:numPr>
      </w:pPr>
      <w:r w:rsidRPr="00902D00">
        <w:t>To explore perceived changes in organisational security following the implementation of cloud-based device management</w:t>
      </w:r>
    </w:p>
    <w:p w14:paraId="7808ED93" w14:textId="77777777" w:rsidR="00902D00" w:rsidRPr="00902D00" w:rsidRDefault="00902D00" w:rsidP="00902D00">
      <w:pPr>
        <w:numPr>
          <w:ilvl w:val="0"/>
          <w:numId w:val="4"/>
        </w:numPr>
      </w:pPr>
      <w:r w:rsidRPr="00902D00">
        <w:lastRenderedPageBreak/>
        <w:t>To analyse the influence of cloud-based device management on operational processes, including automation and administrative workload</w:t>
      </w:r>
    </w:p>
    <w:p w14:paraId="098F0BA1" w14:textId="77777777" w:rsidR="00902D00" w:rsidRPr="00902D00" w:rsidRDefault="00902D00" w:rsidP="00902D00">
      <w:pPr>
        <w:numPr>
          <w:ilvl w:val="0"/>
          <w:numId w:val="4"/>
        </w:numPr>
      </w:pPr>
      <w:r w:rsidRPr="00902D00">
        <w:t>To identify key challenges and constraints associated with the adoption and implementation of cloud-based device management technologies</w:t>
      </w:r>
    </w:p>
    <w:p w14:paraId="4FBDD044" w14:textId="1FBDE26B" w:rsidR="00902D00" w:rsidRPr="00902D00" w:rsidRDefault="00902D00" w:rsidP="00902D00"/>
    <w:p w14:paraId="3FEBA40F" w14:textId="77777777" w:rsidR="00902D00" w:rsidRPr="00902D00" w:rsidRDefault="00902D00" w:rsidP="00902D00">
      <w:pPr>
        <w:rPr>
          <w:b/>
          <w:bCs/>
        </w:rPr>
      </w:pPr>
      <w:r w:rsidRPr="00902D00">
        <w:rPr>
          <w:b/>
          <w:bCs/>
        </w:rPr>
        <w:t>Key Literature Overview</w:t>
      </w:r>
    </w:p>
    <w:p w14:paraId="4E01A7BE" w14:textId="77777777" w:rsidR="00902D00" w:rsidRPr="00902D00" w:rsidRDefault="00902D00" w:rsidP="00902D00">
      <w:r w:rsidRPr="00902D00">
        <w:t>Current literature indicates that cloud-based device management aligns closely with contemporary security models, such as zero trust architectures, and supports consistent policy enforcement across organisational environments (Rose et al., 2020). Reported benefits include improved device visibility, stronger access controls, and enhanced compliance monitoring. However, the literature also highlights ongoing concerns relating to governance structures, organisational readiness, and data protection obligations. These limitations emphasise the need for further empirical research to understand how such solutions function in practice within organisational contexts.</w:t>
      </w:r>
    </w:p>
    <w:p w14:paraId="308D0B20" w14:textId="382AB4BA" w:rsidR="00902D00" w:rsidRPr="00902D00" w:rsidRDefault="00902D00" w:rsidP="00902D00"/>
    <w:p w14:paraId="2DF0A211" w14:textId="77777777" w:rsidR="00902D00" w:rsidRPr="00902D00" w:rsidRDefault="00902D00" w:rsidP="00902D00">
      <w:pPr>
        <w:rPr>
          <w:b/>
          <w:bCs/>
        </w:rPr>
      </w:pPr>
      <w:r w:rsidRPr="00902D00">
        <w:rPr>
          <w:b/>
          <w:bCs/>
        </w:rPr>
        <w:t>Proposed Methodology</w:t>
      </w:r>
    </w:p>
    <w:p w14:paraId="03863F0B" w14:textId="77777777" w:rsidR="00902D00" w:rsidRPr="00902D00" w:rsidRDefault="00902D00" w:rsidP="00902D00">
      <w:r w:rsidRPr="00902D00">
        <w:t>This research will employ a qualitative, exploratory design to gain insight into organisational experiences of cloud-based device management. A qualitative approach is considered suitable as it enables detailed exploration of perceptions, experiences, and challenges that may not be captured through quantitative methods.</w:t>
      </w:r>
    </w:p>
    <w:p w14:paraId="502D4CCE" w14:textId="77777777" w:rsidR="00902D00" w:rsidRPr="00902D00" w:rsidRDefault="00902D00" w:rsidP="00902D00">
      <w:r w:rsidRPr="00902D00">
        <w:t>Data will be gathered through semi-structured interviews with IT professionals who have direct experience in implementing or managing cloud-based device management solutions. A purposive sampling strategy will be used to ensure that participants possess relevant knowledge and experience. Data analysis will be conducted using thematic analysis to identify recurring themes related to security outcomes, operational efficiency, and implementation challenges (Braun and Clarke, 2006).</w:t>
      </w:r>
    </w:p>
    <w:p w14:paraId="74E8636F" w14:textId="5874F592" w:rsidR="00902D00" w:rsidRPr="00902D00" w:rsidRDefault="00902D00" w:rsidP="00902D00"/>
    <w:p w14:paraId="123B890C" w14:textId="77777777" w:rsidR="00902D00" w:rsidRPr="00902D00" w:rsidRDefault="00902D00" w:rsidP="00902D00">
      <w:pPr>
        <w:rPr>
          <w:b/>
          <w:bCs/>
        </w:rPr>
      </w:pPr>
      <w:r w:rsidRPr="00902D00">
        <w:rPr>
          <w:b/>
          <w:bCs/>
        </w:rPr>
        <w:t>Ethical Considerations</w:t>
      </w:r>
    </w:p>
    <w:p w14:paraId="11053E3F" w14:textId="7AE25B9A" w:rsidR="00902D00" w:rsidRPr="00902D00" w:rsidRDefault="00902D00" w:rsidP="00902D00">
      <w:r w:rsidRPr="00902D00">
        <w:t xml:space="preserve">Ethical approval will be obtained </w:t>
      </w:r>
      <w:r>
        <w:t>before</w:t>
      </w:r>
      <w:r w:rsidRPr="00902D00">
        <w:t xml:space="preserve"> the commencement of data collection. Participants will receive an information sheet outlining the purpose of the research and the nature of their involvement, and informed consent will be obtained before participation.</w:t>
      </w:r>
    </w:p>
    <w:p w14:paraId="1131A2CC" w14:textId="77777777" w:rsidR="00902D00" w:rsidRPr="00902D00" w:rsidRDefault="00902D00" w:rsidP="00902D00">
      <w:r w:rsidRPr="00902D00">
        <w:t>Ethical considerations will include the anonymisation of participants and organisations, secure handling and storage of research data, and adherence to UK General Data Protection Regulation (UK GDPR) requirements. Participants will also be informed of their right to withdraw from the study at any point without consequence (Information Commissioner’s Office, 2023; British Computer Society, 2022).</w:t>
      </w:r>
    </w:p>
    <w:p w14:paraId="383F3085" w14:textId="5A2BE64C" w:rsidR="00902D00" w:rsidRDefault="00902D00" w:rsidP="00902D00"/>
    <w:p w14:paraId="793EF84E" w14:textId="77777777" w:rsidR="001B1319" w:rsidRDefault="001B1319" w:rsidP="00902D00"/>
    <w:p w14:paraId="52C55ED8" w14:textId="77777777" w:rsidR="001B1319" w:rsidRDefault="001B1319" w:rsidP="00902D00"/>
    <w:p w14:paraId="19EB27AD" w14:textId="77777777" w:rsidR="00902D00" w:rsidRPr="00902D00" w:rsidRDefault="00902D00" w:rsidP="00902D00"/>
    <w:p w14:paraId="6B3531EF" w14:textId="77777777" w:rsidR="00902D00" w:rsidRPr="00902D00" w:rsidRDefault="00902D00" w:rsidP="00902D00">
      <w:pPr>
        <w:rPr>
          <w:b/>
          <w:bCs/>
        </w:rPr>
      </w:pPr>
      <w:r w:rsidRPr="00902D00">
        <w:rPr>
          <w:b/>
          <w:bCs/>
        </w:rPr>
        <w:lastRenderedPageBreak/>
        <w:t>Indicative Timeline</w:t>
      </w:r>
    </w:p>
    <w:p w14:paraId="72C992EF" w14:textId="77777777" w:rsidR="00902D00" w:rsidRPr="00902D00" w:rsidRDefault="00902D00" w:rsidP="00902D00">
      <w:pPr>
        <w:numPr>
          <w:ilvl w:val="0"/>
          <w:numId w:val="5"/>
        </w:numPr>
      </w:pPr>
      <w:r w:rsidRPr="00902D00">
        <w:t>Literature review: Weeks 1–2</w:t>
      </w:r>
    </w:p>
    <w:p w14:paraId="3A16D76E" w14:textId="77777777" w:rsidR="00902D00" w:rsidRPr="00902D00" w:rsidRDefault="00902D00" w:rsidP="00902D00">
      <w:pPr>
        <w:numPr>
          <w:ilvl w:val="0"/>
          <w:numId w:val="5"/>
        </w:numPr>
      </w:pPr>
      <w:r w:rsidRPr="00902D00">
        <w:t>Ethics approval: Week 3</w:t>
      </w:r>
    </w:p>
    <w:p w14:paraId="19537380" w14:textId="77777777" w:rsidR="00902D00" w:rsidRPr="00902D00" w:rsidRDefault="00902D00" w:rsidP="00902D00">
      <w:pPr>
        <w:numPr>
          <w:ilvl w:val="0"/>
          <w:numId w:val="5"/>
        </w:numPr>
      </w:pPr>
      <w:r w:rsidRPr="00902D00">
        <w:t>Data collection: Weeks 4–5</w:t>
      </w:r>
    </w:p>
    <w:p w14:paraId="3182B57D" w14:textId="77777777" w:rsidR="00902D00" w:rsidRPr="00902D00" w:rsidRDefault="00902D00" w:rsidP="00902D00">
      <w:pPr>
        <w:numPr>
          <w:ilvl w:val="0"/>
          <w:numId w:val="5"/>
        </w:numPr>
      </w:pPr>
      <w:r w:rsidRPr="00902D00">
        <w:t>Data analysis: Weeks 6–7</w:t>
      </w:r>
    </w:p>
    <w:p w14:paraId="7E795AE4" w14:textId="77777777" w:rsidR="00902D00" w:rsidRPr="00902D00" w:rsidRDefault="00902D00" w:rsidP="00902D00">
      <w:pPr>
        <w:numPr>
          <w:ilvl w:val="0"/>
          <w:numId w:val="5"/>
        </w:numPr>
      </w:pPr>
      <w:r w:rsidRPr="00902D00">
        <w:t>Writing and preparation for presentation: Weeks 8–9</w:t>
      </w:r>
    </w:p>
    <w:p w14:paraId="10A0DEE8" w14:textId="4F352C36" w:rsidR="00902D00" w:rsidRPr="00902D00" w:rsidRDefault="00902D00" w:rsidP="00902D00"/>
    <w:p w14:paraId="06942A59" w14:textId="77777777" w:rsidR="00902D00" w:rsidRPr="00902D00" w:rsidRDefault="00902D00" w:rsidP="00902D00">
      <w:pPr>
        <w:rPr>
          <w:b/>
          <w:bCs/>
        </w:rPr>
      </w:pPr>
      <w:r w:rsidRPr="00902D00">
        <w:rPr>
          <w:b/>
          <w:bCs/>
        </w:rPr>
        <w:t>References</w:t>
      </w:r>
    </w:p>
    <w:p w14:paraId="7D29576B" w14:textId="77777777" w:rsidR="00902D00" w:rsidRPr="00902D00" w:rsidRDefault="00902D00" w:rsidP="001B1319">
      <w:pPr>
        <w:pStyle w:val="ListParagraph"/>
        <w:numPr>
          <w:ilvl w:val="0"/>
          <w:numId w:val="6"/>
        </w:numPr>
      </w:pPr>
      <w:r w:rsidRPr="00902D00">
        <w:t xml:space="preserve">Braun, V. and Clarke, V. (2006) ‘Using thematic analysis in psychology’, </w:t>
      </w:r>
      <w:r w:rsidRPr="001B1319">
        <w:rPr>
          <w:i/>
          <w:iCs/>
        </w:rPr>
        <w:t>Qualitative Research in Psychology</w:t>
      </w:r>
      <w:r w:rsidRPr="00902D00">
        <w:t>, 3(2), pp. 77–101.</w:t>
      </w:r>
      <w:r w:rsidRPr="00902D00">
        <w:br/>
      </w:r>
      <w:hyperlink r:id="rId5" w:tgtFrame="_new" w:history="1">
        <w:r w:rsidRPr="00902D00">
          <w:rPr>
            <w:rStyle w:val="Hyperlink"/>
          </w:rPr>
          <w:t>https://doi.org/10.1191/1478088706qp063oa</w:t>
        </w:r>
      </w:hyperlink>
    </w:p>
    <w:p w14:paraId="360BA1D4" w14:textId="77777777" w:rsidR="00902D00" w:rsidRPr="00902D00" w:rsidRDefault="00902D00" w:rsidP="001B1319">
      <w:pPr>
        <w:pStyle w:val="ListParagraph"/>
        <w:numPr>
          <w:ilvl w:val="0"/>
          <w:numId w:val="6"/>
        </w:numPr>
      </w:pPr>
      <w:r w:rsidRPr="00902D00">
        <w:t xml:space="preserve">British Computer Society (2022) </w:t>
      </w:r>
      <w:r w:rsidRPr="001B1319">
        <w:rPr>
          <w:i/>
          <w:iCs/>
        </w:rPr>
        <w:t>Code of Conduct</w:t>
      </w:r>
      <w:r w:rsidRPr="00902D00">
        <w:t>.</w:t>
      </w:r>
      <w:r w:rsidRPr="00902D00">
        <w:br/>
      </w:r>
      <w:hyperlink r:id="rId6" w:tgtFrame="_new" w:history="1">
        <w:r w:rsidRPr="00902D00">
          <w:rPr>
            <w:rStyle w:val="Hyperlink"/>
          </w:rPr>
          <w:t>https://www.bcs.org/membership-and-registrations/become-a-member/bcs-code-of-conduct/</w:t>
        </w:r>
      </w:hyperlink>
    </w:p>
    <w:p w14:paraId="774C0287" w14:textId="77777777" w:rsidR="00902D00" w:rsidRPr="00902D00" w:rsidRDefault="00902D00" w:rsidP="001B1319">
      <w:pPr>
        <w:pStyle w:val="ListParagraph"/>
        <w:numPr>
          <w:ilvl w:val="0"/>
          <w:numId w:val="6"/>
        </w:numPr>
      </w:pPr>
      <w:r w:rsidRPr="00902D00">
        <w:t xml:space="preserve">Information Commissioner’s Office (2023) </w:t>
      </w:r>
      <w:r w:rsidRPr="001B1319">
        <w:rPr>
          <w:i/>
          <w:iCs/>
        </w:rPr>
        <w:t>UK GDPR guidance and resources</w:t>
      </w:r>
      <w:r w:rsidRPr="00902D00">
        <w:t>.</w:t>
      </w:r>
      <w:r w:rsidRPr="00902D00">
        <w:br/>
      </w:r>
      <w:hyperlink r:id="rId7" w:tgtFrame="_new" w:history="1">
        <w:r w:rsidRPr="00902D00">
          <w:rPr>
            <w:rStyle w:val="Hyperlink"/>
          </w:rPr>
          <w:t>https://ico.org.uk/for-organisations/uk-gdpr-guidance-and-resources/</w:t>
        </w:r>
      </w:hyperlink>
    </w:p>
    <w:p w14:paraId="3A09DDF1" w14:textId="77777777" w:rsidR="00902D00" w:rsidRPr="00902D00" w:rsidRDefault="00902D00" w:rsidP="001B1319">
      <w:pPr>
        <w:pStyle w:val="ListParagraph"/>
        <w:numPr>
          <w:ilvl w:val="0"/>
          <w:numId w:val="6"/>
        </w:numPr>
      </w:pPr>
      <w:r w:rsidRPr="00902D00">
        <w:t xml:space="preserve">Mell, P. and Grance, T. (2011) </w:t>
      </w:r>
      <w:r w:rsidRPr="001B1319">
        <w:rPr>
          <w:i/>
          <w:iCs/>
        </w:rPr>
        <w:t>The NIST Definition of Cloud Computing (SP 800-145)</w:t>
      </w:r>
      <w:r w:rsidRPr="00902D00">
        <w:t>. National Institute of Standards and Technology.</w:t>
      </w:r>
      <w:r w:rsidRPr="00902D00">
        <w:br/>
      </w:r>
      <w:hyperlink r:id="rId8" w:tgtFrame="_new" w:history="1">
        <w:r w:rsidRPr="00902D00">
          <w:rPr>
            <w:rStyle w:val="Hyperlink"/>
          </w:rPr>
          <w:t>https://nvlpubs.nist.gov/nistpubs/Legacy/SP/nistspecialpublication800-145.pdf</w:t>
        </w:r>
      </w:hyperlink>
    </w:p>
    <w:p w14:paraId="27944BC8" w14:textId="77777777" w:rsidR="00902D00" w:rsidRPr="00902D00" w:rsidRDefault="00902D00" w:rsidP="001B1319">
      <w:pPr>
        <w:pStyle w:val="ListParagraph"/>
        <w:numPr>
          <w:ilvl w:val="0"/>
          <w:numId w:val="6"/>
        </w:numPr>
      </w:pPr>
      <w:r w:rsidRPr="00902D00">
        <w:t xml:space="preserve">Rose, S. et al. (2020) </w:t>
      </w:r>
      <w:r w:rsidRPr="001B1319">
        <w:rPr>
          <w:i/>
          <w:iCs/>
        </w:rPr>
        <w:t>Zero Trust Architecture (SP 800-207)</w:t>
      </w:r>
      <w:r w:rsidRPr="00902D00">
        <w:t>. National Institute of Standards and Technology.</w:t>
      </w:r>
      <w:r w:rsidRPr="00902D00">
        <w:br/>
      </w:r>
      <w:hyperlink r:id="rId9" w:tgtFrame="_new" w:history="1">
        <w:r w:rsidRPr="00902D00">
          <w:rPr>
            <w:rStyle w:val="Hyperlink"/>
          </w:rPr>
          <w:t>https://csrc.nist.gov/publications/detail/sp/800-207/final</w:t>
        </w:r>
      </w:hyperlink>
    </w:p>
    <w:p w14:paraId="5AD77848" w14:textId="77777777" w:rsidR="006C3575" w:rsidRPr="00902D00" w:rsidRDefault="006C3575" w:rsidP="00902D00"/>
    <w:sectPr w:rsidR="006C3575" w:rsidRPr="00902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6D9"/>
    <w:multiLevelType w:val="hybridMultilevel"/>
    <w:tmpl w:val="33744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49279A"/>
    <w:multiLevelType w:val="multilevel"/>
    <w:tmpl w:val="0C0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C2496"/>
    <w:multiLevelType w:val="multilevel"/>
    <w:tmpl w:val="72C4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56B98"/>
    <w:multiLevelType w:val="multilevel"/>
    <w:tmpl w:val="F8B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D7CE5"/>
    <w:multiLevelType w:val="hybridMultilevel"/>
    <w:tmpl w:val="40CC5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A85B4C"/>
    <w:multiLevelType w:val="multilevel"/>
    <w:tmpl w:val="78C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61062">
    <w:abstractNumId w:val="3"/>
  </w:num>
  <w:num w:numId="2" w16cid:durableId="2037269327">
    <w:abstractNumId w:val="5"/>
  </w:num>
  <w:num w:numId="3" w16cid:durableId="1391345991">
    <w:abstractNumId w:val="0"/>
  </w:num>
  <w:num w:numId="4" w16cid:durableId="805245889">
    <w:abstractNumId w:val="2"/>
  </w:num>
  <w:num w:numId="5" w16cid:durableId="796415254">
    <w:abstractNumId w:val="1"/>
  </w:num>
  <w:num w:numId="6" w16cid:durableId="1006597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6707"/>
    <w:rsid w:val="001B1319"/>
    <w:rsid w:val="001B2CB6"/>
    <w:rsid w:val="001F7606"/>
    <w:rsid w:val="002064EE"/>
    <w:rsid w:val="0025726F"/>
    <w:rsid w:val="00276A1B"/>
    <w:rsid w:val="002E6707"/>
    <w:rsid w:val="004C11DA"/>
    <w:rsid w:val="00524BB8"/>
    <w:rsid w:val="006C3575"/>
    <w:rsid w:val="007A7279"/>
    <w:rsid w:val="00902D00"/>
    <w:rsid w:val="009A4979"/>
    <w:rsid w:val="00C74C1D"/>
    <w:rsid w:val="00D2090A"/>
    <w:rsid w:val="00EE6D09"/>
    <w:rsid w:val="00F813B9"/>
    <w:rsid w:val="00FE13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8AA1"/>
  <w15:chartTrackingRefBased/>
  <w15:docId w15:val="{7387714F-84B0-47B6-AC34-0901654D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07"/>
    <w:rPr>
      <w:rFonts w:eastAsiaTheme="majorEastAsia" w:cstheme="majorBidi"/>
      <w:color w:val="272727" w:themeColor="text1" w:themeTint="D8"/>
    </w:rPr>
  </w:style>
  <w:style w:type="paragraph" w:styleId="Title">
    <w:name w:val="Title"/>
    <w:basedOn w:val="Normal"/>
    <w:next w:val="Normal"/>
    <w:link w:val="TitleChar"/>
    <w:uiPriority w:val="10"/>
    <w:qFormat/>
    <w:rsid w:val="002E6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07"/>
    <w:pPr>
      <w:spacing w:before="160"/>
      <w:jc w:val="center"/>
    </w:pPr>
    <w:rPr>
      <w:i/>
      <w:iCs/>
      <w:color w:val="404040" w:themeColor="text1" w:themeTint="BF"/>
    </w:rPr>
  </w:style>
  <w:style w:type="character" w:customStyle="1" w:styleId="QuoteChar">
    <w:name w:val="Quote Char"/>
    <w:basedOn w:val="DefaultParagraphFont"/>
    <w:link w:val="Quote"/>
    <w:uiPriority w:val="29"/>
    <w:rsid w:val="002E6707"/>
    <w:rPr>
      <w:i/>
      <w:iCs/>
      <w:color w:val="404040" w:themeColor="text1" w:themeTint="BF"/>
    </w:rPr>
  </w:style>
  <w:style w:type="paragraph" w:styleId="ListParagraph">
    <w:name w:val="List Paragraph"/>
    <w:basedOn w:val="Normal"/>
    <w:uiPriority w:val="34"/>
    <w:qFormat/>
    <w:rsid w:val="002E6707"/>
    <w:pPr>
      <w:ind w:left="720"/>
      <w:contextualSpacing/>
    </w:pPr>
  </w:style>
  <w:style w:type="character" w:styleId="IntenseEmphasis">
    <w:name w:val="Intense Emphasis"/>
    <w:basedOn w:val="DefaultParagraphFont"/>
    <w:uiPriority w:val="21"/>
    <w:qFormat/>
    <w:rsid w:val="002E6707"/>
    <w:rPr>
      <w:i/>
      <w:iCs/>
      <w:color w:val="2F5496" w:themeColor="accent1" w:themeShade="BF"/>
    </w:rPr>
  </w:style>
  <w:style w:type="paragraph" w:styleId="IntenseQuote">
    <w:name w:val="Intense Quote"/>
    <w:basedOn w:val="Normal"/>
    <w:next w:val="Normal"/>
    <w:link w:val="IntenseQuoteChar"/>
    <w:uiPriority w:val="30"/>
    <w:qFormat/>
    <w:rsid w:val="002E6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707"/>
    <w:rPr>
      <w:i/>
      <w:iCs/>
      <w:color w:val="2F5496" w:themeColor="accent1" w:themeShade="BF"/>
    </w:rPr>
  </w:style>
  <w:style w:type="character" w:styleId="IntenseReference">
    <w:name w:val="Intense Reference"/>
    <w:basedOn w:val="DefaultParagraphFont"/>
    <w:uiPriority w:val="32"/>
    <w:qFormat/>
    <w:rsid w:val="002E6707"/>
    <w:rPr>
      <w:b/>
      <w:bCs/>
      <w:smallCaps/>
      <w:color w:val="2F5496" w:themeColor="accent1" w:themeShade="BF"/>
      <w:spacing w:val="5"/>
    </w:rPr>
  </w:style>
  <w:style w:type="character" w:styleId="Hyperlink">
    <w:name w:val="Hyperlink"/>
    <w:basedOn w:val="DefaultParagraphFont"/>
    <w:uiPriority w:val="99"/>
    <w:unhideWhenUsed/>
    <w:rsid w:val="00FE132B"/>
    <w:rPr>
      <w:color w:val="0563C1" w:themeColor="hyperlink"/>
      <w:u w:val="single"/>
    </w:rPr>
  </w:style>
  <w:style w:type="character" w:styleId="UnresolvedMention">
    <w:name w:val="Unresolved Mention"/>
    <w:basedOn w:val="DefaultParagraphFont"/>
    <w:uiPriority w:val="99"/>
    <w:semiHidden/>
    <w:unhideWhenUsed/>
    <w:rsid w:val="00FE1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lpubs.nist.gov/nistpubs/Legacy/SP/nistspecialpublication800-145.pdf" TargetMode="External"/><Relationship Id="rId3" Type="http://schemas.openxmlformats.org/officeDocument/2006/relationships/settings" Target="settings.xml"/><Relationship Id="rId7" Type="http://schemas.openxmlformats.org/officeDocument/2006/relationships/hyperlink" Target="https://ico.org.uk/for-organisations/uk-gdpr-guidance-and-resourc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s.org/membership-and-registrations/become-a-member/bcs-code-of-conduct/" TargetMode="External"/><Relationship Id="rId11" Type="http://schemas.openxmlformats.org/officeDocument/2006/relationships/theme" Target="theme/theme1.xml"/><Relationship Id="rId5" Type="http://schemas.openxmlformats.org/officeDocument/2006/relationships/hyperlink" Target="https://doi.org/10.1191/1478088706qp063o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rc.nist.gov/publications/detail/sp/800-207/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11</cp:revision>
  <dcterms:created xsi:type="dcterms:W3CDTF">2025-12-14T13:13:00Z</dcterms:created>
  <dcterms:modified xsi:type="dcterms:W3CDTF">2025-12-14T15:37:00Z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b27ac55d-c9cf-4573-83ac-11bd67fcce4a</vt:lpwstr>
  </property>
</Properties>
</file>